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531FA70E"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77777777" w:rsidR="00E66558" w:rsidRDefault="009D71E8">
      <w:pPr>
        <w:pStyle w:val="Heading2"/>
        <w:rPr>
          <w:b w:val="0"/>
          <w:bCs/>
          <w:color w:val="auto"/>
          <w:sz w:val="24"/>
          <w:szCs w:val="24"/>
        </w:rPr>
      </w:pPr>
      <w:r>
        <w:rPr>
          <w:b w:val="0"/>
          <w:bCs/>
          <w:color w:val="auto"/>
          <w:sz w:val="24"/>
          <w:szCs w:val="24"/>
        </w:rPr>
        <w:t xml:space="preserve">This statement details our school’s use of pupil premium (and recovery premium for the 2021 to 2022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5A1BA2DC" w:rsidR="00E66558" w:rsidRDefault="004A76FE">
            <w:pPr>
              <w:pStyle w:val="TableRow"/>
            </w:pPr>
            <w:r>
              <w:t xml:space="preserve">St Luke’s </w:t>
            </w:r>
            <w:r w:rsidR="003B32AB">
              <w:t xml:space="preserve">Catholic </w:t>
            </w:r>
            <w:r>
              <w:t>Primary School</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3506C17F" w:rsidR="00E66558" w:rsidRDefault="009136EA">
            <w:pPr>
              <w:pStyle w:val="TableRow"/>
            </w:pPr>
            <w:r>
              <w:t>150</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0AE21726" w:rsidR="00E66558" w:rsidRDefault="00E154F9">
            <w:pPr>
              <w:pStyle w:val="TableRow"/>
            </w:pPr>
            <w:r>
              <w:t>27.5%</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2CDB8AE8" w:rsidR="00E66558" w:rsidRDefault="009136EA">
            <w:pPr>
              <w:pStyle w:val="TableRow"/>
            </w:pPr>
            <w:r>
              <w:t>2021-2024</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345EBBC0" w:rsidR="00E66558" w:rsidRDefault="009136EA">
            <w:pPr>
              <w:pStyle w:val="TableRow"/>
            </w:pPr>
            <w:r>
              <w:t>December 2021</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1BA3AC65" w:rsidR="00E66558" w:rsidRDefault="009136EA">
            <w:pPr>
              <w:pStyle w:val="TableRow"/>
            </w:pPr>
            <w:r>
              <w:t>September 2044</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E66A6" w14:textId="3771689B" w:rsidR="00E66558" w:rsidRDefault="004A76FE">
            <w:pPr>
              <w:pStyle w:val="TableRow"/>
            </w:pPr>
            <w:r>
              <w:t>Louise Evans</w:t>
            </w:r>
          </w:p>
          <w:p w14:paraId="2A7D54CB" w14:textId="64D64A99" w:rsidR="004A76FE" w:rsidRDefault="004A76FE">
            <w:pPr>
              <w:pStyle w:val="TableRow"/>
            </w:pPr>
            <w:r>
              <w:t>(Acting Headteacher)</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A9A82" w14:textId="77777777" w:rsidR="00E66558" w:rsidRDefault="004A76FE">
            <w:pPr>
              <w:pStyle w:val="TableRow"/>
            </w:pPr>
            <w:r>
              <w:t xml:space="preserve">Louise Evans </w:t>
            </w:r>
          </w:p>
          <w:p w14:paraId="2A7D54CE" w14:textId="4D4980FD" w:rsidR="004A76FE" w:rsidRDefault="004A76FE">
            <w:pPr>
              <w:pStyle w:val="TableRow"/>
            </w:pPr>
            <w:r>
              <w:t>(Acting Headteacher)</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66F441B1" w:rsidR="00E66558" w:rsidRDefault="00E154F9">
            <w:pPr>
              <w:pStyle w:val="TableRow"/>
            </w:pPr>
            <w:r>
              <w:t>P Heffernan</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79825900" w:rsidR="00E66558" w:rsidRDefault="009D71E8">
            <w:pPr>
              <w:pStyle w:val="TableRow"/>
            </w:pPr>
            <w:r>
              <w:t>£</w:t>
            </w:r>
            <w:r w:rsidR="00F5612D">
              <w:t xml:space="preserve"> 53,230</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6A60566F" w:rsidR="00E66558" w:rsidRDefault="009D71E8">
            <w:pPr>
              <w:pStyle w:val="TableRow"/>
            </w:pPr>
            <w:r>
              <w:t>£</w:t>
            </w:r>
            <w:r w:rsidR="00F5612D">
              <w:t xml:space="preserve"> 5510</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0CE0D870" w:rsidR="00E66558" w:rsidRDefault="009D71E8">
            <w:pPr>
              <w:pStyle w:val="TableRow"/>
            </w:pPr>
            <w:r>
              <w:t>£</w:t>
            </w:r>
            <w:r w:rsidR="00F5612D">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058F4DCA" w:rsidR="00E66558" w:rsidRDefault="009D71E8">
            <w:pPr>
              <w:pStyle w:val="TableRow"/>
            </w:pPr>
            <w:r>
              <w:t>£</w:t>
            </w:r>
            <w:r w:rsidR="00F5612D">
              <w:t xml:space="preserve"> 58,740</w:t>
            </w:r>
          </w:p>
        </w:tc>
      </w:tr>
    </w:tbl>
    <w:p w14:paraId="2A7D54E4" w14:textId="77777777" w:rsidR="00E66558" w:rsidRDefault="009D71E8">
      <w:pPr>
        <w:pStyle w:val="Heading1"/>
      </w:pPr>
      <w:r>
        <w:lastRenderedPageBreak/>
        <w:t>Part A: Pupil premium strategy plan</w:t>
      </w:r>
    </w:p>
    <w:p w14:paraId="2A7D54E5" w14:textId="58E637BF" w:rsidR="00E66558" w:rsidRDefault="009D71E8">
      <w:pPr>
        <w:pStyle w:val="Heading2"/>
      </w:pPr>
      <w:bookmarkStart w:id="14" w:name="_Toc357771640"/>
      <w:bookmarkStart w:id="15" w:name="_Toc346793418"/>
      <w:r>
        <w:t>Statement of inten</w:t>
      </w:r>
      <w:r w:rsidR="004A6FFA">
        <w:t>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DAE0A" w14:textId="77777777" w:rsidR="00E66558" w:rsidRDefault="009136EA" w:rsidP="009136EA">
            <w:pPr>
              <w:ind w:left="720" w:hanging="360"/>
            </w:pPr>
            <w:r>
              <w:t>At St Luke’s</w:t>
            </w:r>
            <w:r w:rsidR="00101406">
              <w:t xml:space="preserve"> our intention is to provide a rich meaningful and motivating curriculum which links purposefully to real life for all children </w:t>
            </w:r>
            <w:r w:rsidR="004A6FFA">
              <w:t>irrespective of their background or personal challenges. All children at St Luke’s are supported to make good progress and achieve highly across all areas of the curriculum. The pupil premium strategy is to support disadvantaged children to reach their full potential, including those pupils who are already high attainers.</w:t>
            </w:r>
          </w:p>
          <w:p w14:paraId="2CCFC338" w14:textId="77777777" w:rsidR="004A6FFA" w:rsidRDefault="004A6FFA" w:rsidP="004A6FFA">
            <w:pPr>
              <w:ind w:left="720" w:hanging="360"/>
            </w:pPr>
            <w:r>
              <w:t>We will consider the challenges faced by vulnerable pupils, such as those who have a have a social worker. The activities outlined in this statement is also intended to support their needs, regardless of whether they are disadvantaged or not.</w:t>
            </w:r>
          </w:p>
          <w:p w14:paraId="14254AD6" w14:textId="51F02091" w:rsidR="005F6EBD" w:rsidRDefault="004A6FFA" w:rsidP="004A6FFA">
            <w:pPr>
              <w:ind w:left="720" w:hanging="360"/>
            </w:pPr>
            <w:r>
              <w:t>High quality teaching is at the centre of our approach, with a focus on areas across the curriculum in which our disadvantaged pupils require the most support</w:t>
            </w:r>
            <w:r w:rsidR="005F6EBD">
              <w:t>. Effective and targeted high-quality teaching is proven to have the greatest impact on closing the disadvantaged attainment gap and at the same time will benefit the non-disadvantaged pupils within school. The aim of St Luke’s pupil premium strategy is to ensure that the attainment and progress of all pupils is sustained and continues to improve.</w:t>
            </w:r>
          </w:p>
          <w:p w14:paraId="520ADC32" w14:textId="295E1C1B" w:rsidR="005F6EBD" w:rsidRDefault="005F6EBD" w:rsidP="004A6FFA">
            <w:pPr>
              <w:ind w:left="720" w:hanging="360"/>
            </w:pPr>
            <w:r>
              <w:t xml:space="preserve">Within our plan we have carefully considered </w:t>
            </w:r>
            <w:r w:rsidR="00195508">
              <w:t xml:space="preserve">the need for education recovery </w:t>
            </w:r>
            <w:r w:rsidR="00696D9A">
              <w:t>because of</w:t>
            </w:r>
            <w:r w:rsidR="00195508">
              <w:t xml:space="preserve"> school closures and disruption during the pandemic. Within the strategy is a commitment to targeted support through 1:1 and small group tuition for pupils whose education has been worst effected, including non-disadvantaged pupils.</w:t>
            </w:r>
          </w:p>
          <w:p w14:paraId="0AC9C243" w14:textId="77777777" w:rsidR="00195508" w:rsidRDefault="00195508" w:rsidP="004A6FFA">
            <w:pPr>
              <w:ind w:left="720" w:hanging="360"/>
            </w:pPr>
            <w:r>
              <w:t>Our approach will be responsive to challenges and individual needs, rooted in timely and robust diagnostic assessment. The approaches adopted at St Luke’s will complement each other and the school’s curriculum to help all pupils excel and reach their full potential. To ensure that the school’s plan is effective St Luke’s will:</w:t>
            </w:r>
          </w:p>
          <w:p w14:paraId="0D6F6FD2" w14:textId="77777777" w:rsidR="00195508" w:rsidRDefault="00696D9A" w:rsidP="00195508">
            <w:pPr>
              <w:pStyle w:val="ListParagraph"/>
              <w:numPr>
                <w:ilvl w:val="0"/>
                <w:numId w:val="16"/>
              </w:numPr>
            </w:pPr>
            <w:r>
              <w:t>E</w:t>
            </w:r>
            <w:r w:rsidR="00195508">
              <w:t>nsu</w:t>
            </w:r>
            <w:r>
              <w:t>re disadvantaged pupils, of all abilities, are challenged in the work that they’re set</w:t>
            </w:r>
          </w:p>
          <w:p w14:paraId="6D6ADF6C" w14:textId="77777777" w:rsidR="00696D9A" w:rsidRDefault="00696D9A" w:rsidP="00195508">
            <w:pPr>
              <w:pStyle w:val="ListParagraph"/>
              <w:numPr>
                <w:ilvl w:val="0"/>
                <w:numId w:val="16"/>
              </w:numPr>
            </w:pPr>
            <w:r>
              <w:t>Act early to intervene at the point where need is identified</w:t>
            </w:r>
          </w:p>
          <w:p w14:paraId="2A7D54E9" w14:textId="262FD572" w:rsidR="00696D9A" w:rsidRPr="009136EA" w:rsidRDefault="00696D9A" w:rsidP="00195508">
            <w:pPr>
              <w:pStyle w:val="ListParagraph"/>
              <w:numPr>
                <w:ilvl w:val="0"/>
                <w:numId w:val="16"/>
              </w:numPr>
            </w:pPr>
            <w:r>
              <w:t>Adopt a whole school approach in which all staff take responsibility for disadvantaged pupils’ outcomes and raise expectations of what they can achieve.</w:t>
            </w:r>
          </w:p>
        </w:tc>
      </w:tr>
    </w:tbl>
    <w:p w14:paraId="2A7D54EB" w14:textId="77777777" w:rsidR="00E66558" w:rsidRDefault="009D71E8">
      <w:pPr>
        <w:pStyle w:val="Heading2"/>
        <w:spacing w:before="600"/>
      </w:pPr>
      <w:r>
        <w:lastRenderedPageBreak/>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3704050B" w:rsidR="00E66558" w:rsidRPr="008E2980" w:rsidRDefault="00BD2EB3">
            <w:pPr>
              <w:pStyle w:val="TableRowCentered"/>
              <w:jc w:val="left"/>
            </w:pPr>
            <w:r w:rsidRPr="008E2980">
              <w:rPr>
                <w:sz w:val="22"/>
                <w:szCs w:val="22"/>
              </w:rPr>
              <w:t xml:space="preserve">Assessment, </w:t>
            </w:r>
            <w:r w:rsidR="008E2980" w:rsidRPr="008E2980">
              <w:rPr>
                <w:sz w:val="22"/>
                <w:szCs w:val="22"/>
              </w:rPr>
              <w:t>observations,</w:t>
            </w:r>
            <w:r w:rsidRPr="008E2980">
              <w:rPr>
                <w:sz w:val="22"/>
                <w:szCs w:val="22"/>
              </w:rPr>
              <w:t xml:space="preserve"> and pupil voice highlight that </w:t>
            </w:r>
            <w:r w:rsidR="00F566B3" w:rsidRPr="008E2980">
              <w:rPr>
                <w:sz w:val="22"/>
                <w:szCs w:val="22"/>
              </w:rPr>
              <w:t xml:space="preserve">many disadvantaged children in all year groups within school have </w:t>
            </w:r>
            <w:r w:rsidR="008E2980" w:rsidRPr="008E2980">
              <w:rPr>
                <w:sz w:val="22"/>
                <w:szCs w:val="22"/>
              </w:rPr>
              <w:t>underdeveloped</w:t>
            </w:r>
            <w:r w:rsidR="00F566B3" w:rsidRPr="008E2980">
              <w:rPr>
                <w:sz w:val="22"/>
                <w:szCs w:val="22"/>
              </w:rPr>
              <w:t xml:space="preserve"> oral language skills and vocabulary gaps. </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01FFEBB0" w:rsidR="00E66558" w:rsidRDefault="00F566B3">
            <w:pPr>
              <w:pStyle w:val="TableRowCentered"/>
              <w:jc w:val="left"/>
              <w:rPr>
                <w:sz w:val="22"/>
                <w:szCs w:val="22"/>
              </w:rPr>
            </w:pPr>
            <w:r>
              <w:rPr>
                <w:sz w:val="22"/>
                <w:szCs w:val="22"/>
              </w:rPr>
              <w:t>Assessment, observations and pupil voice identify disadvantaged pupils generally have greater difficulties</w:t>
            </w:r>
            <w:r w:rsidR="008E2980">
              <w:rPr>
                <w:sz w:val="22"/>
                <w:szCs w:val="22"/>
              </w:rPr>
              <w:t xml:space="preserve"> with phonics than their peers. This subsequently impacts negatively on their progress as readers.</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5CE96CCD" w:rsidR="00E66558" w:rsidRDefault="0029677A">
            <w:pPr>
              <w:pStyle w:val="TableRowCentered"/>
              <w:jc w:val="left"/>
              <w:rPr>
                <w:sz w:val="22"/>
                <w:szCs w:val="22"/>
              </w:rPr>
            </w:pPr>
            <w:r>
              <w:rPr>
                <w:sz w:val="22"/>
                <w:szCs w:val="22"/>
              </w:rPr>
              <w:t>Assessment, observations and pupil voice identify disadvantaged pupils often have lower levels of attainment in writing due to their limited experiences and exposure to language and English writing structure</w:t>
            </w:r>
            <w:r w:rsidR="00206EC5">
              <w:rPr>
                <w:sz w:val="22"/>
                <w:szCs w:val="22"/>
              </w:rPr>
              <w:t>s</w:t>
            </w:r>
            <w:r>
              <w:rPr>
                <w:sz w:val="22"/>
                <w:szCs w:val="22"/>
              </w:rPr>
              <w:t>.</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5201720A" w:rsidR="00E66558" w:rsidRDefault="0029677A">
            <w:pPr>
              <w:pStyle w:val="TableRowCentered"/>
              <w:jc w:val="left"/>
              <w:rPr>
                <w:iCs/>
                <w:sz w:val="22"/>
              </w:rPr>
            </w:pPr>
            <w:r>
              <w:rPr>
                <w:iCs/>
                <w:sz w:val="22"/>
              </w:rPr>
              <w:t xml:space="preserve">Internal and external assessments indicate that </w:t>
            </w:r>
            <w:r w:rsidR="00206EC5">
              <w:rPr>
                <w:iCs/>
                <w:sz w:val="22"/>
              </w:rPr>
              <w:t>mathematic</w:t>
            </w:r>
            <w:r>
              <w:rPr>
                <w:iCs/>
                <w:sz w:val="22"/>
              </w:rPr>
              <w:t xml:space="preserve">s attainment and progress among disadvantaged pupils </w:t>
            </w:r>
            <w:r w:rsidR="00206EC5">
              <w:rPr>
                <w:iCs/>
                <w:sz w:val="22"/>
              </w:rPr>
              <w:t>is often lower than their peers. Assessments identify disadvantaged pupils often lack the language and skills needed to reason and problem solve within mathematics.</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bookmarkStart w:id="16" w:name="_Toc443397160"/>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60722F47" w:rsidR="00E66558" w:rsidRDefault="0029677A">
            <w:pPr>
              <w:pStyle w:val="TableRowCentered"/>
              <w:jc w:val="left"/>
              <w:rPr>
                <w:iCs/>
                <w:sz w:val="22"/>
              </w:rPr>
            </w:pPr>
            <w:r>
              <w:rPr>
                <w:iCs/>
                <w:sz w:val="22"/>
              </w:rPr>
              <w:t>Internal assessment strategies, observations and discussions with pupils and families has identified social and emotional difficulties for many pupils. Many disadvantaged peers have had a lack of enrichment opportunities due to school and bubble closures. This has had a negative impact on the disadvantaged children including on their attainment.</w:t>
            </w:r>
          </w:p>
        </w:tc>
      </w:tr>
      <w:tr w:rsidR="008E2980" w14:paraId="16B2B880"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3414A" w14:textId="2D65C1B4" w:rsidR="008E2980" w:rsidRDefault="00206EC5">
            <w:pPr>
              <w:pStyle w:val="TableRow"/>
              <w:rPr>
                <w:sz w:val="22"/>
                <w:szCs w:val="22"/>
              </w:rPr>
            </w:pPr>
            <w:r>
              <w:rPr>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C9451" w14:textId="1551A815" w:rsidR="008E2980" w:rsidRDefault="004B3797">
            <w:pPr>
              <w:pStyle w:val="TableRowCentered"/>
              <w:jc w:val="left"/>
              <w:rPr>
                <w:iCs/>
                <w:sz w:val="22"/>
              </w:rPr>
            </w:pPr>
            <w:r>
              <w:rPr>
                <w:iCs/>
                <w:sz w:val="22"/>
              </w:rPr>
              <w:t xml:space="preserve">Attendance data over the last 3 years indicates that attendance among disadvantaged pupils has been between 1-5% lower than for non-disadvantaged pupils. Assessments identify that attendance is have a negative impact on disadvantaged </w:t>
            </w:r>
            <w:r w:rsidR="003B32AB">
              <w:rPr>
                <w:iCs/>
                <w:sz w:val="22"/>
              </w:rPr>
              <w:t>pupils’</w:t>
            </w:r>
            <w:r>
              <w:rPr>
                <w:iCs/>
                <w:sz w:val="22"/>
              </w:rPr>
              <w:t xml:space="preserve"> progress.</w:t>
            </w:r>
          </w:p>
        </w:tc>
      </w:tr>
    </w:tbl>
    <w:p w14:paraId="2A7D54FF" w14:textId="77777777"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2689"/>
        <w:gridCol w:w="6797"/>
      </w:tblGrid>
      <w:tr w:rsidR="00E66558" w14:paraId="2A7D5503" w14:textId="77777777" w:rsidTr="00111A2C">
        <w:tc>
          <w:tcPr>
            <w:tcW w:w="268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679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rsidTr="00111A2C">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6E5B06C8" w:rsidR="00E66558" w:rsidRPr="00111A2C" w:rsidRDefault="00111A2C">
            <w:pPr>
              <w:pStyle w:val="TableRow"/>
            </w:pPr>
            <w:r w:rsidRPr="00111A2C">
              <w:rPr>
                <w:sz w:val="22"/>
                <w:szCs w:val="22"/>
              </w:rPr>
              <w:t>Improved oral and language skills</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E1840" w14:textId="77777777" w:rsidR="00E66558" w:rsidRDefault="002F7869">
            <w:pPr>
              <w:pStyle w:val="TableRowCentered"/>
              <w:jc w:val="left"/>
              <w:rPr>
                <w:sz w:val="22"/>
                <w:szCs w:val="22"/>
              </w:rPr>
            </w:pPr>
            <w:r>
              <w:rPr>
                <w:sz w:val="22"/>
                <w:szCs w:val="22"/>
              </w:rPr>
              <w:t>Assessments, observations and moderation shows a significant improved oral language and vocabulary understanding for disadvantaged children.</w:t>
            </w:r>
          </w:p>
          <w:p w14:paraId="2A7D5505" w14:textId="5B3B67D0" w:rsidR="002F7869" w:rsidRPr="00111A2C" w:rsidRDefault="002F7869" w:rsidP="00C36FDE">
            <w:pPr>
              <w:pStyle w:val="TableRowCentered"/>
              <w:jc w:val="left"/>
              <w:rPr>
                <w:sz w:val="22"/>
                <w:szCs w:val="22"/>
              </w:rPr>
            </w:pPr>
            <w:r>
              <w:rPr>
                <w:sz w:val="22"/>
                <w:szCs w:val="22"/>
              </w:rPr>
              <w:t>Children are able to articulate vocabulary meaning when reading and are using this learnt vocabulary within their independent writing.</w:t>
            </w:r>
          </w:p>
        </w:tc>
      </w:tr>
      <w:tr w:rsidR="00E66558" w14:paraId="2A7D5509" w14:textId="77777777" w:rsidTr="00111A2C">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14A753C5" w:rsidR="00E66558" w:rsidRPr="00111A2C" w:rsidRDefault="00C36FDE">
            <w:pPr>
              <w:pStyle w:val="TableRow"/>
              <w:rPr>
                <w:sz w:val="22"/>
                <w:szCs w:val="22"/>
              </w:rPr>
            </w:pPr>
            <w:r>
              <w:rPr>
                <w:sz w:val="22"/>
                <w:szCs w:val="22"/>
              </w:rPr>
              <w:t>Improved reading attainment among disadvantaged pupils</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1ADE76" w14:textId="77777777" w:rsidR="00E66558" w:rsidRDefault="00C36FDE">
            <w:pPr>
              <w:pStyle w:val="TableRowCentered"/>
              <w:jc w:val="left"/>
              <w:rPr>
                <w:sz w:val="22"/>
                <w:szCs w:val="22"/>
              </w:rPr>
            </w:pPr>
            <w:r>
              <w:rPr>
                <w:sz w:val="22"/>
                <w:szCs w:val="22"/>
              </w:rPr>
              <w:t>KS2 reading outcomes in 2024/25 show that more than 75% of disadvantaged pupils met the expected standard.</w:t>
            </w:r>
          </w:p>
          <w:p w14:paraId="2A7D5508" w14:textId="7B2AF8D0" w:rsidR="00C36FDE" w:rsidRPr="00111A2C" w:rsidRDefault="00C36FDE">
            <w:pPr>
              <w:pStyle w:val="TableRowCentered"/>
              <w:jc w:val="left"/>
              <w:rPr>
                <w:sz w:val="22"/>
                <w:szCs w:val="22"/>
              </w:rPr>
            </w:pPr>
            <w:r>
              <w:rPr>
                <w:sz w:val="22"/>
                <w:szCs w:val="22"/>
              </w:rPr>
              <w:t>Disadvantaged pupils will make expected progress from starting points.</w:t>
            </w:r>
          </w:p>
        </w:tc>
      </w:tr>
      <w:tr w:rsidR="00C36FDE" w14:paraId="2A7D550C" w14:textId="77777777" w:rsidTr="00111A2C">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20F08242" w:rsidR="00C36FDE" w:rsidRPr="00111A2C" w:rsidRDefault="00C36FDE" w:rsidP="00C36FDE">
            <w:pPr>
              <w:pStyle w:val="TableRow"/>
              <w:rPr>
                <w:sz w:val="22"/>
                <w:szCs w:val="22"/>
              </w:rPr>
            </w:pPr>
            <w:r>
              <w:rPr>
                <w:sz w:val="22"/>
                <w:szCs w:val="22"/>
              </w:rPr>
              <w:lastRenderedPageBreak/>
              <w:t>Improved writing attainment among disadvantaged pupils</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CC266" w14:textId="4D7F3C3D" w:rsidR="00C36FDE" w:rsidRDefault="00C36FDE" w:rsidP="00C36FDE">
            <w:pPr>
              <w:pStyle w:val="TableRowCentered"/>
              <w:jc w:val="left"/>
              <w:rPr>
                <w:sz w:val="22"/>
                <w:szCs w:val="22"/>
              </w:rPr>
            </w:pPr>
            <w:r>
              <w:rPr>
                <w:sz w:val="22"/>
                <w:szCs w:val="22"/>
              </w:rPr>
              <w:t>KS2 writing outcomes in 2024/25 show that more than 75% of disadvantaged pupils met the expected standard.</w:t>
            </w:r>
          </w:p>
          <w:p w14:paraId="2A7D550B" w14:textId="1E9A9E78" w:rsidR="00C36FDE" w:rsidRPr="00111A2C" w:rsidRDefault="00C36FDE" w:rsidP="00C36FDE">
            <w:pPr>
              <w:pStyle w:val="TableRowCentered"/>
              <w:jc w:val="left"/>
              <w:rPr>
                <w:sz w:val="22"/>
                <w:szCs w:val="22"/>
              </w:rPr>
            </w:pPr>
            <w:r>
              <w:rPr>
                <w:sz w:val="22"/>
                <w:szCs w:val="22"/>
              </w:rPr>
              <w:t>Disadvantaged pupils will make expected progress from starting points.</w:t>
            </w:r>
          </w:p>
        </w:tc>
      </w:tr>
      <w:tr w:rsidR="00C36FDE" w14:paraId="2A7D550F" w14:textId="77777777" w:rsidTr="00111A2C">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56FA54DF" w:rsidR="00C36FDE" w:rsidRPr="00111A2C" w:rsidRDefault="00C36FDE" w:rsidP="00C36FDE">
            <w:pPr>
              <w:pStyle w:val="TableRow"/>
              <w:rPr>
                <w:sz w:val="22"/>
                <w:szCs w:val="22"/>
              </w:rPr>
            </w:pPr>
            <w:r>
              <w:rPr>
                <w:sz w:val="22"/>
                <w:szCs w:val="22"/>
              </w:rPr>
              <w:t>Improved mathematics attainment among disadvantaged pupils</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C6150" w14:textId="171D42E0" w:rsidR="00C36FDE" w:rsidRDefault="00C36FDE" w:rsidP="00C36FDE">
            <w:pPr>
              <w:pStyle w:val="TableRowCentered"/>
              <w:jc w:val="left"/>
              <w:rPr>
                <w:sz w:val="22"/>
                <w:szCs w:val="22"/>
              </w:rPr>
            </w:pPr>
            <w:r>
              <w:rPr>
                <w:sz w:val="22"/>
                <w:szCs w:val="22"/>
              </w:rPr>
              <w:t>KS2 mathematic outcomes in 2024/25 show that more than 75% of disadvantaged pupils met the expected standard.</w:t>
            </w:r>
          </w:p>
          <w:p w14:paraId="2A7D550E" w14:textId="099E27D6" w:rsidR="00C36FDE" w:rsidRPr="00111A2C" w:rsidRDefault="00C36FDE" w:rsidP="00C36FDE">
            <w:pPr>
              <w:pStyle w:val="TableRowCentered"/>
              <w:jc w:val="left"/>
              <w:rPr>
                <w:sz w:val="22"/>
                <w:szCs w:val="22"/>
              </w:rPr>
            </w:pPr>
            <w:r>
              <w:rPr>
                <w:sz w:val="22"/>
                <w:szCs w:val="22"/>
              </w:rPr>
              <w:t>Disadvantaged pupils will make expected progress from starting points.</w:t>
            </w:r>
          </w:p>
        </w:tc>
      </w:tr>
      <w:tr w:rsidR="00C36FDE" w14:paraId="78D5A9AD" w14:textId="77777777" w:rsidTr="00111A2C">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B1938" w14:textId="07E1D832" w:rsidR="00C36FDE" w:rsidRDefault="00BD3512" w:rsidP="00C36FDE">
            <w:pPr>
              <w:pStyle w:val="TableRow"/>
              <w:rPr>
                <w:sz w:val="22"/>
                <w:szCs w:val="22"/>
              </w:rPr>
            </w:pPr>
            <w:r>
              <w:rPr>
                <w:sz w:val="22"/>
                <w:szCs w:val="22"/>
              </w:rPr>
              <w:t>To achieve and sustain improved well being for all pupils in school, particularly our disadvantaged pupils.</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1CDD1" w14:textId="77777777" w:rsidR="00C36FDE" w:rsidRDefault="00BD3512" w:rsidP="00C36FDE">
            <w:pPr>
              <w:pStyle w:val="TableRowCentered"/>
              <w:jc w:val="left"/>
              <w:rPr>
                <w:sz w:val="22"/>
                <w:szCs w:val="22"/>
              </w:rPr>
            </w:pPr>
            <w:r>
              <w:rPr>
                <w:sz w:val="22"/>
                <w:szCs w:val="22"/>
              </w:rPr>
              <w:t>Sustained high levels of wellbeing from 2024/25 demonstrated by:</w:t>
            </w:r>
          </w:p>
          <w:p w14:paraId="5C3300B0" w14:textId="77777777" w:rsidR="00BD3512" w:rsidRDefault="00BD3512" w:rsidP="00BD3512">
            <w:pPr>
              <w:pStyle w:val="TableRowCentered"/>
              <w:numPr>
                <w:ilvl w:val="0"/>
                <w:numId w:val="14"/>
              </w:numPr>
              <w:jc w:val="left"/>
              <w:rPr>
                <w:sz w:val="22"/>
                <w:szCs w:val="22"/>
              </w:rPr>
            </w:pPr>
            <w:r>
              <w:rPr>
                <w:sz w:val="22"/>
                <w:szCs w:val="22"/>
              </w:rPr>
              <w:t>A significant increase in participation in extra-curricular activities</w:t>
            </w:r>
          </w:p>
          <w:p w14:paraId="4AF374D3" w14:textId="6CEDFF9B" w:rsidR="00BD3512" w:rsidRDefault="00BD3512" w:rsidP="00BD3512">
            <w:pPr>
              <w:pStyle w:val="TableRowCentered"/>
              <w:numPr>
                <w:ilvl w:val="0"/>
                <w:numId w:val="14"/>
              </w:numPr>
              <w:jc w:val="left"/>
              <w:rPr>
                <w:sz w:val="22"/>
                <w:szCs w:val="22"/>
              </w:rPr>
            </w:pPr>
            <w:r>
              <w:rPr>
                <w:sz w:val="22"/>
                <w:szCs w:val="22"/>
              </w:rPr>
              <w:t>A significant increase in participation in enrichment activities including residential trips.</w:t>
            </w:r>
          </w:p>
        </w:tc>
      </w:tr>
      <w:tr w:rsidR="00BD3512" w14:paraId="2292053E" w14:textId="77777777" w:rsidTr="00111A2C">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9C82E" w14:textId="53F78D58" w:rsidR="00BD3512" w:rsidRDefault="00C97659" w:rsidP="00C36FDE">
            <w:pPr>
              <w:pStyle w:val="TableRow"/>
              <w:rPr>
                <w:sz w:val="22"/>
                <w:szCs w:val="22"/>
              </w:rPr>
            </w:pPr>
            <w:r>
              <w:rPr>
                <w:sz w:val="22"/>
                <w:szCs w:val="22"/>
              </w:rPr>
              <w:t>To achieve and sustain improved attendance for all pupils particularly our disadvantaged pupils.</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412AD" w14:textId="77777777" w:rsidR="00BD3512" w:rsidRDefault="00C97659" w:rsidP="00C36FDE">
            <w:pPr>
              <w:pStyle w:val="TableRowCentered"/>
              <w:jc w:val="left"/>
              <w:rPr>
                <w:sz w:val="22"/>
                <w:szCs w:val="22"/>
              </w:rPr>
            </w:pPr>
            <w:r>
              <w:rPr>
                <w:sz w:val="22"/>
                <w:szCs w:val="22"/>
              </w:rPr>
              <w:t>Sustained high attendance from 2024/25 demonstrated by:</w:t>
            </w:r>
          </w:p>
          <w:p w14:paraId="76D6A730" w14:textId="77777777" w:rsidR="00C97659" w:rsidRDefault="00C97659" w:rsidP="00C97659">
            <w:pPr>
              <w:pStyle w:val="TableRowCentered"/>
              <w:numPr>
                <w:ilvl w:val="0"/>
                <w:numId w:val="15"/>
              </w:numPr>
              <w:jc w:val="left"/>
              <w:rPr>
                <w:sz w:val="22"/>
                <w:szCs w:val="22"/>
              </w:rPr>
            </w:pPr>
            <w:r>
              <w:rPr>
                <w:sz w:val="22"/>
                <w:szCs w:val="22"/>
              </w:rPr>
              <w:t>The overall absence rate for disadvantaged pupils is inline with peers and at or above school attendance target.</w:t>
            </w:r>
          </w:p>
          <w:p w14:paraId="56E176A9" w14:textId="7F71F856" w:rsidR="00C97659" w:rsidRDefault="00C97659" w:rsidP="00C97659">
            <w:pPr>
              <w:pStyle w:val="TableRowCentered"/>
              <w:numPr>
                <w:ilvl w:val="0"/>
                <w:numId w:val="15"/>
              </w:numPr>
              <w:jc w:val="left"/>
              <w:rPr>
                <w:sz w:val="22"/>
                <w:szCs w:val="22"/>
              </w:rPr>
            </w:pPr>
            <w:r>
              <w:rPr>
                <w:sz w:val="22"/>
                <w:szCs w:val="22"/>
              </w:rPr>
              <w:t>Percentage of disadvantaged children who are persistently absent is inline with peers.</w:t>
            </w: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47B862F3" w:rsidR="00E66558" w:rsidRDefault="009D71E8">
      <w:r>
        <w:t xml:space="preserve">Budgeted cost: £ </w:t>
      </w:r>
      <w:r w:rsidR="00F5612D">
        <w:rPr>
          <w:i/>
          <w:iCs/>
        </w:rPr>
        <w:t>19,740</w:t>
      </w:r>
    </w:p>
    <w:tbl>
      <w:tblPr>
        <w:tblW w:w="5303" w:type="pct"/>
        <w:tblCellMar>
          <w:left w:w="10" w:type="dxa"/>
          <w:right w:w="10" w:type="dxa"/>
        </w:tblCellMar>
        <w:tblLook w:val="04A0" w:firstRow="1" w:lastRow="0" w:firstColumn="1" w:lastColumn="0" w:noHBand="0" w:noVBand="1"/>
      </w:tblPr>
      <w:tblGrid>
        <w:gridCol w:w="2637"/>
        <w:gridCol w:w="5871"/>
        <w:gridCol w:w="1553"/>
      </w:tblGrid>
      <w:tr w:rsidR="00E66558" w14:paraId="2A7D5519" w14:textId="77777777" w:rsidTr="00543B1B">
        <w:tc>
          <w:tcPr>
            <w:tcW w:w="297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552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56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rsidTr="00543B1B">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994BA" w14:textId="77777777" w:rsidR="00E66558" w:rsidRDefault="00C55D21">
            <w:pPr>
              <w:pStyle w:val="TableRow"/>
              <w:rPr>
                <w:sz w:val="22"/>
                <w:szCs w:val="22"/>
              </w:rPr>
            </w:pPr>
            <w:r>
              <w:rPr>
                <w:sz w:val="22"/>
                <w:szCs w:val="22"/>
              </w:rPr>
              <w:t>Purchase of standardised diagnostic assessments</w:t>
            </w:r>
          </w:p>
          <w:p w14:paraId="5E20BEF2" w14:textId="77777777" w:rsidR="00C55D21" w:rsidRDefault="00C55D21">
            <w:pPr>
              <w:pStyle w:val="TableRow"/>
              <w:rPr>
                <w:sz w:val="22"/>
                <w:szCs w:val="22"/>
              </w:rPr>
            </w:pPr>
          </w:p>
          <w:p w14:paraId="2A7D551A" w14:textId="5C55A475" w:rsidR="00C55D21" w:rsidRPr="00D32C4C" w:rsidRDefault="00C55D21">
            <w:pPr>
              <w:pStyle w:val="TableRow"/>
            </w:pPr>
            <w:r>
              <w:rPr>
                <w:sz w:val="22"/>
                <w:szCs w:val="22"/>
              </w:rPr>
              <w:t xml:space="preserve">Training for staff </w:t>
            </w:r>
            <w:r w:rsidR="00CB3BA3">
              <w:rPr>
                <w:sz w:val="22"/>
                <w:szCs w:val="22"/>
              </w:rPr>
              <w:t xml:space="preserve">to ensure assessments are interpreted and administered </w:t>
            </w:r>
            <w:r w:rsidR="000D43DD">
              <w:rPr>
                <w:sz w:val="22"/>
                <w:szCs w:val="22"/>
              </w:rPr>
              <w:t>correctly</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9D231" w14:textId="77777777" w:rsidR="00E66558" w:rsidRDefault="008F387B">
            <w:pPr>
              <w:pStyle w:val="TableRowCentered"/>
              <w:jc w:val="left"/>
              <w:rPr>
                <w:sz w:val="22"/>
              </w:rPr>
            </w:pPr>
            <w:r>
              <w:rPr>
                <w:sz w:val="22"/>
              </w:rPr>
              <w:t>Standardised tests provide reliable insights</w:t>
            </w:r>
            <w:r w:rsidR="00D07840">
              <w:rPr>
                <w:sz w:val="22"/>
              </w:rPr>
              <w:t xml:space="preserve"> into the specific</w:t>
            </w:r>
            <w:r w:rsidR="0080409F">
              <w:rPr>
                <w:sz w:val="22"/>
              </w:rPr>
              <w:t xml:space="preserve"> strengths</w:t>
            </w:r>
            <w:r w:rsidR="00D0109E">
              <w:rPr>
                <w:sz w:val="22"/>
              </w:rPr>
              <w:t xml:space="preserve"> and weaknesses of each pupil</w:t>
            </w:r>
            <w:r w:rsidR="00111B83">
              <w:rPr>
                <w:sz w:val="22"/>
              </w:rPr>
              <w:t xml:space="preserve">. This information is used to support </w:t>
            </w:r>
            <w:r w:rsidR="00C03D99">
              <w:rPr>
                <w:sz w:val="22"/>
              </w:rPr>
              <w:t>teacher assessment to ensure that accurate, specific and focused interventions:</w:t>
            </w:r>
          </w:p>
          <w:p w14:paraId="127A4F87" w14:textId="7949A26A" w:rsidR="00C03D99" w:rsidRDefault="00C03D99">
            <w:pPr>
              <w:pStyle w:val="TableRowCentered"/>
              <w:jc w:val="left"/>
              <w:rPr>
                <w:sz w:val="22"/>
              </w:rPr>
            </w:pPr>
          </w:p>
          <w:p w14:paraId="2A7D551B" w14:textId="0ED732DE" w:rsidR="00C03D99" w:rsidRDefault="00DE075E">
            <w:pPr>
              <w:pStyle w:val="TableRowCentered"/>
              <w:jc w:val="left"/>
              <w:rPr>
                <w:sz w:val="22"/>
              </w:rPr>
            </w:pPr>
            <w:hyperlink r:id="rId10" w:history="1">
              <w:r w:rsidR="00E85DF1" w:rsidRPr="00121FF0">
                <w:rPr>
                  <w:rStyle w:val="Hyperlink"/>
                  <w:sz w:val="22"/>
                </w:rPr>
                <w:t>https://educationendowmentfoundation.org.uk/education-evidence/teaching-learning-toolkit/feedback</w:t>
              </w:r>
            </w:hyperlink>
            <w:r w:rsidR="00E85DF1">
              <w:rPr>
                <w:sz w:val="22"/>
              </w:rPr>
              <w:t xml:space="preserve">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308B777C" w:rsidR="00E66558" w:rsidRDefault="005C0AE8">
            <w:pPr>
              <w:pStyle w:val="TableRowCentered"/>
              <w:jc w:val="left"/>
              <w:rPr>
                <w:sz w:val="22"/>
              </w:rPr>
            </w:pPr>
            <w:r>
              <w:rPr>
                <w:sz w:val="22"/>
              </w:rPr>
              <w:t>1, 2, 3, 4</w:t>
            </w:r>
          </w:p>
        </w:tc>
      </w:tr>
      <w:tr w:rsidR="00E66558" w14:paraId="2A7D5521" w14:textId="77777777" w:rsidTr="00543B1B">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3ED1E6C8" w:rsidR="00E66558" w:rsidRPr="00047571" w:rsidRDefault="00C03D99">
            <w:pPr>
              <w:pStyle w:val="TableRow"/>
              <w:rPr>
                <w:iCs/>
                <w:sz w:val="22"/>
              </w:rPr>
            </w:pPr>
            <w:r>
              <w:rPr>
                <w:iCs/>
                <w:sz w:val="22"/>
              </w:rPr>
              <w:t xml:space="preserve">Purchase of </w:t>
            </w:r>
            <w:r w:rsidR="00D058B3">
              <w:rPr>
                <w:iCs/>
                <w:sz w:val="22"/>
              </w:rPr>
              <w:t>CPD</w:t>
            </w:r>
            <w:r>
              <w:rPr>
                <w:iCs/>
                <w:sz w:val="22"/>
              </w:rPr>
              <w:t xml:space="preserve"> and up to date resources of Read, Write, Inc Phonics scheme which is a DFE validated systematic phonics programme to ensure high quality phonics teaching and intervention for all pupils.</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256E5" w14:textId="6D06EAF4" w:rsidR="00E66558" w:rsidRDefault="00D058B3">
            <w:pPr>
              <w:pStyle w:val="TableRowCentered"/>
              <w:jc w:val="left"/>
              <w:rPr>
                <w:sz w:val="22"/>
              </w:rPr>
            </w:pPr>
            <w:r>
              <w:rPr>
                <w:sz w:val="22"/>
              </w:rPr>
              <w:t xml:space="preserve">Research </w:t>
            </w:r>
            <w:r w:rsidR="00C614BA">
              <w:rPr>
                <w:sz w:val="22"/>
              </w:rPr>
              <w:t>into</w:t>
            </w:r>
            <w:r>
              <w:rPr>
                <w:sz w:val="22"/>
              </w:rPr>
              <w:t xml:space="preserve"> high quality phonics teaching shows that it has a positive impact on word reading fluency and vocabulary.</w:t>
            </w:r>
          </w:p>
          <w:p w14:paraId="2DB7EF96" w14:textId="77777777" w:rsidR="00D058B3" w:rsidRDefault="00D058B3">
            <w:pPr>
              <w:pStyle w:val="TableRowCentered"/>
              <w:jc w:val="left"/>
              <w:rPr>
                <w:sz w:val="22"/>
              </w:rPr>
            </w:pPr>
          </w:p>
          <w:p w14:paraId="2A7D551F" w14:textId="5448B717" w:rsidR="00D058B3" w:rsidRDefault="00DE075E">
            <w:pPr>
              <w:pStyle w:val="TableRowCentered"/>
              <w:jc w:val="left"/>
              <w:rPr>
                <w:sz w:val="22"/>
              </w:rPr>
            </w:pPr>
            <w:hyperlink r:id="rId11" w:history="1">
              <w:r w:rsidR="00E85DF1" w:rsidRPr="00121FF0">
                <w:rPr>
                  <w:rStyle w:val="Hyperlink"/>
                  <w:sz w:val="22"/>
                </w:rPr>
                <w:t>https://educationendowmentfoundation.org.uk/education-evidence/teaching-learning-toolkit/phonics</w:t>
              </w:r>
            </w:hyperlink>
            <w:r w:rsidR="00E85DF1">
              <w:rPr>
                <w:sz w:val="22"/>
              </w:rPr>
              <w:t xml:space="preserve">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32792042" w:rsidR="00E66558" w:rsidRDefault="00D058B3">
            <w:pPr>
              <w:pStyle w:val="TableRowCentered"/>
              <w:jc w:val="left"/>
              <w:rPr>
                <w:sz w:val="22"/>
              </w:rPr>
            </w:pPr>
            <w:r>
              <w:rPr>
                <w:sz w:val="22"/>
              </w:rPr>
              <w:t>1, 2, 3</w:t>
            </w:r>
          </w:p>
        </w:tc>
      </w:tr>
      <w:tr w:rsidR="00D058B3" w14:paraId="369DBAF6" w14:textId="77777777" w:rsidTr="00543B1B">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53195" w14:textId="13DAB266" w:rsidR="00D058B3" w:rsidRDefault="00C614BA">
            <w:pPr>
              <w:pStyle w:val="TableRow"/>
              <w:rPr>
                <w:iCs/>
                <w:sz w:val="22"/>
              </w:rPr>
            </w:pPr>
            <w:r>
              <w:rPr>
                <w:iCs/>
                <w:sz w:val="22"/>
              </w:rPr>
              <w:t>Developing and consolidating dialogic and speech and language activities and intervention across the school. Including the purchase of necessary resources, training and staffing to plan, deliver and monitor the programmes.</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283B5" w14:textId="77777777" w:rsidR="00D058B3" w:rsidRDefault="00B03632">
            <w:pPr>
              <w:pStyle w:val="TableRowCentered"/>
              <w:jc w:val="left"/>
              <w:rPr>
                <w:sz w:val="22"/>
              </w:rPr>
            </w:pPr>
            <w:r>
              <w:rPr>
                <w:sz w:val="22"/>
              </w:rPr>
              <w:t>Research has shown that oral language intervention, including dialogic activities such as high-quality classroom discussion are inexpensive to implement but have high impact on pupils</w:t>
            </w:r>
            <w:r w:rsidR="00E36484">
              <w:rPr>
                <w:sz w:val="22"/>
              </w:rPr>
              <w:t>’</w:t>
            </w:r>
            <w:r>
              <w:rPr>
                <w:sz w:val="22"/>
              </w:rPr>
              <w:t xml:space="preserve"> language acquisition and reading including their comprehension skills.</w:t>
            </w:r>
          </w:p>
          <w:p w14:paraId="32D0E08F" w14:textId="77777777" w:rsidR="007F17E2" w:rsidRDefault="007F17E2">
            <w:pPr>
              <w:pStyle w:val="TableRowCentered"/>
              <w:jc w:val="left"/>
              <w:rPr>
                <w:sz w:val="22"/>
              </w:rPr>
            </w:pPr>
          </w:p>
          <w:p w14:paraId="18B63EB8" w14:textId="77777777" w:rsidR="007F17E2" w:rsidRDefault="00DE075E">
            <w:pPr>
              <w:pStyle w:val="TableRowCentered"/>
              <w:jc w:val="left"/>
              <w:rPr>
                <w:sz w:val="22"/>
              </w:rPr>
            </w:pPr>
            <w:hyperlink r:id="rId12" w:history="1">
              <w:r w:rsidR="00E85DF1" w:rsidRPr="00121FF0">
                <w:rPr>
                  <w:rStyle w:val="Hyperlink"/>
                  <w:sz w:val="22"/>
                </w:rPr>
                <w:t>https://educationendowmentfoundation.org.uk/education-evidence/teaching-learning-toolkit/oral-language-interventions</w:t>
              </w:r>
            </w:hyperlink>
            <w:r w:rsidR="00E85DF1">
              <w:rPr>
                <w:sz w:val="22"/>
              </w:rPr>
              <w:t xml:space="preserve"> </w:t>
            </w:r>
          </w:p>
          <w:p w14:paraId="2B7C0F1D" w14:textId="77777777" w:rsidR="00E85DF1" w:rsidRDefault="00E85DF1">
            <w:pPr>
              <w:pStyle w:val="TableRowCentered"/>
              <w:jc w:val="left"/>
              <w:rPr>
                <w:sz w:val="22"/>
              </w:rPr>
            </w:pPr>
          </w:p>
          <w:p w14:paraId="08EBE997" w14:textId="3BF88EDC" w:rsidR="00E85DF1" w:rsidRDefault="00DE075E">
            <w:pPr>
              <w:pStyle w:val="TableRowCentered"/>
              <w:jc w:val="left"/>
              <w:rPr>
                <w:sz w:val="22"/>
              </w:rPr>
            </w:pPr>
            <w:hyperlink r:id="rId13" w:history="1">
              <w:r w:rsidR="00794C90" w:rsidRPr="00121FF0">
                <w:rPr>
                  <w:rStyle w:val="Hyperlink"/>
                  <w:sz w:val="22"/>
                </w:rPr>
                <w:t>https://educationendowmentfoundation.org.uk/education-evidence/guidance-reports/teaching-assistants</w:t>
              </w:r>
            </w:hyperlink>
            <w:r w:rsidR="00794C90">
              <w:rPr>
                <w:sz w:val="22"/>
              </w:rPr>
              <w:t xml:space="preserve">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6CEBC5" w14:textId="6F7D400F" w:rsidR="00D058B3" w:rsidRDefault="00B03632">
            <w:pPr>
              <w:pStyle w:val="TableRowCentered"/>
              <w:jc w:val="left"/>
              <w:rPr>
                <w:sz w:val="22"/>
              </w:rPr>
            </w:pPr>
            <w:r>
              <w:rPr>
                <w:sz w:val="22"/>
              </w:rPr>
              <w:t>1, 2, 3</w:t>
            </w:r>
          </w:p>
        </w:tc>
      </w:tr>
      <w:tr w:rsidR="00E36484" w14:paraId="7CE1E279" w14:textId="77777777" w:rsidTr="00543B1B">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52EE3" w14:textId="77777777" w:rsidR="00E36484" w:rsidRDefault="00E36484">
            <w:pPr>
              <w:pStyle w:val="TableRow"/>
              <w:rPr>
                <w:iCs/>
                <w:sz w:val="22"/>
              </w:rPr>
            </w:pPr>
            <w:r>
              <w:rPr>
                <w:iCs/>
                <w:sz w:val="22"/>
              </w:rPr>
              <w:t>Continued development of the English curriculum in line with EEF guidance</w:t>
            </w:r>
          </w:p>
          <w:p w14:paraId="4AF3378D" w14:textId="77777777" w:rsidR="00125E30" w:rsidRDefault="00125E30">
            <w:pPr>
              <w:pStyle w:val="TableRow"/>
              <w:rPr>
                <w:iCs/>
                <w:sz w:val="22"/>
              </w:rPr>
            </w:pPr>
          </w:p>
          <w:p w14:paraId="342AD10F" w14:textId="5FD9C97E" w:rsidR="00125E30" w:rsidRDefault="00125E30">
            <w:pPr>
              <w:pStyle w:val="TableRow"/>
              <w:rPr>
                <w:iCs/>
                <w:sz w:val="22"/>
              </w:rPr>
            </w:pPr>
            <w:r>
              <w:rPr>
                <w:iCs/>
                <w:sz w:val="22"/>
              </w:rPr>
              <w:lastRenderedPageBreak/>
              <w:t>Ensuring that all teachers have access to high quality CPD and resources using providers such as Click4teaching and English hubs.</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3E1A0" w14:textId="2E7A0895" w:rsidR="00E36484" w:rsidRDefault="00DE075E">
            <w:pPr>
              <w:pStyle w:val="TableRowCentered"/>
              <w:jc w:val="left"/>
              <w:rPr>
                <w:sz w:val="22"/>
              </w:rPr>
            </w:pPr>
            <w:hyperlink r:id="rId14" w:history="1">
              <w:r w:rsidR="007F17E2" w:rsidRPr="00121FF0">
                <w:rPr>
                  <w:rStyle w:val="Hyperlink"/>
                  <w:sz w:val="22"/>
                </w:rPr>
                <w:t>https://educationendowmentfoundation.org.uk/education-evidence/guidance-reports/literacy-ks-1</w:t>
              </w:r>
            </w:hyperlink>
          </w:p>
          <w:p w14:paraId="4ED35A87" w14:textId="77777777" w:rsidR="007F17E2" w:rsidRDefault="007F17E2">
            <w:pPr>
              <w:pStyle w:val="TableRowCentered"/>
              <w:jc w:val="left"/>
              <w:rPr>
                <w:sz w:val="22"/>
              </w:rPr>
            </w:pPr>
          </w:p>
          <w:p w14:paraId="62CA306A" w14:textId="77777777" w:rsidR="007F17E2" w:rsidRDefault="00DE075E">
            <w:pPr>
              <w:pStyle w:val="TableRowCentered"/>
              <w:jc w:val="left"/>
              <w:rPr>
                <w:sz w:val="22"/>
              </w:rPr>
            </w:pPr>
            <w:hyperlink r:id="rId15" w:history="1">
              <w:r w:rsidR="007F17E2" w:rsidRPr="00121FF0">
                <w:rPr>
                  <w:rStyle w:val="Hyperlink"/>
                  <w:sz w:val="22"/>
                </w:rPr>
                <w:t>https://educationendowmentfoundation.org.uk/education-evidence/guidance-reports/literacy-ks2</w:t>
              </w:r>
            </w:hyperlink>
            <w:r w:rsidR="007F17E2">
              <w:rPr>
                <w:sz w:val="22"/>
              </w:rPr>
              <w:t xml:space="preserve"> </w:t>
            </w:r>
          </w:p>
          <w:p w14:paraId="62D253C3" w14:textId="77777777" w:rsidR="00E85DF1" w:rsidRDefault="00E85DF1">
            <w:pPr>
              <w:pStyle w:val="TableRowCentered"/>
              <w:jc w:val="left"/>
              <w:rPr>
                <w:sz w:val="22"/>
              </w:rPr>
            </w:pPr>
          </w:p>
          <w:p w14:paraId="69A303E3" w14:textId="7B0E1D5D" w:rsidR="00E85DF1" w:rsidRDefault="00DE075E">
            <w:pPr>
              <w:pStyle w:val="TableRowCentered"/>
              <w:jc w:val="left"/>
              <w:rPr>
                <w:sz w:val="22"/>
              </w:rPr>
            </w:pPr>
            <w:hyperlink r:id="rId16" w:history="1">
              <w:r w:rsidR="00E85DF1" w:rsidRPr="00121FF0">
                <w:rPr>
                  <w:rStyle w:val="Hyperlink"/>
                  <w:sz w:val="22"/>
                </w:rPr>
                <w:t>https://educationendowmentfoundation.org.uk/education-evidence/teaching-learning-toolkit/reading-comprehension-strategies</w:t>
              </w:r>
            </w:hyperlink>
            <w:r w:rsidR="00E85DF1">
              <w:rPr>
                <w:sz w:val="22"/>
              </w:rPr>
              <w:t xml:space="preserve">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D91AB2" w14:textId="77777777" w:rsidR="00E36484" w:rsidRDefault="00E36484">
            <w:pPr>
              <w:pStyle w:val="TableRowCentered"/>
              <w:jc w:val="left"/>
              <w:rPr>
                <w:sz w:val="22"/>
              </w:rPr>
            </w:pPr>
          </w:p>
        </w:tc>
      </w:tr>
      <w:tr w:rsidR="00B03632" w14:paraId="1B02BFE0" w14:textId="77777777" w:rsidTr="00543B1B">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4CB2D" w14:textId="6B8439EB" w:rsidR="00B03632" w:rsidRDefault="00E36484">
            <w:pPr>
              <w:pStyle w:val="TableRow"/>
              <w:rPr>
                <w:iCs/>
                <w:sz w:val="22"/>
              </w:rPr>
            </w:pPr>
            <w:r>
              <w:rPr>
                <w:iCs/>
                <w:sz w:val="22"/>
              </w:rPr>
              <w:t>Continued development</w:t>
            </w:r>
            <w:r w:rsidR="00B03632">
              <w:rPr>
                <w:iCs/>
                <w:sz w:val="22"/>
              </w:rPr>
              <w:t xml:space="preserve"> </w:t>
            </w:r>
            <w:r w:rsidR="00F309FE">
              <w:rPr>
                <w:iCs/>
                <w:sz w:val="22"/>
              </w:rPr>
              <w:t>of the mathematics curriculum with a focus on fluency and reasoning in line with DfE and EEF guidance</w:t>
            </w:r>
          </w:p>
          <w:p w14:paraId="77AA5372" w14:textId="77777777" w:rsidR="00F309FE" w:rsidRDefault="00F309FE">
            <w:pPr>
              <w:pStyle w:val="TableRow"/>
              <w:rPr>
                <w:iCs/>
                <w:sz w:val="22"/>
              </w:rPr>
            </w:pPr>
          </w:p>
          <w:p w14:paraId="0649A20E" w14:textId="755C0B6F" w:rsidR="00F309FE" w:rsidRDefault="00F309FE" w:rsidP="00F309FE">
            <w:pPr>
              <w:pStyle w:val="TableRow"/>
              <w:ind w:left="0"/>
              <w:rPr>
                <w:iCs/>
                <w:sz w:val="22"/>
              </w:rPr>
            </w:pPr>
            <w:r>
              <w:rPr>
                <w:iCs/>
                <w:sz w:val="22"/>
              </w:rPr>
              <w:t xml:space="preserve">Ensuring that all teachers have access to high quality CPD and resources </w:t>
            </w:r>
            <w:r w:rsidR="00E36484">
              <w:rPr>
                <w:iCs/>
                <w:sz w:val="22"/>
              </w:rPr>
              <w:t xml:space="preserve">using </w:t>
            </w:r>
            <w:r>
              <w:rPr>
                <w:iCs/>
                <w:sz w:val="22"/>
              </w:rPr>
              <w:t>providers such as Click4teaching</w:t>
            </w:r>
            <w:r w:rsidR="00E36484">
              <w:rPr>
                <w:iCs/>
                <w:sz w:val="22"/>
              </w:rPr>
              <w:t xml:space="preserve"> and maths hubs</w:t>
            </w:r>
            <w:r>
              <w:rPr>
                <w:iCs/>
                <w:sz w:val="22"/>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1DBB2" w14:textId="77777777" w:rsidR="00B03632" w:rsidRDefault="00F309FE" w:rsidP="00B03632">
            <w:pPr>
              <w:pStyle w:val="TableRowCentered"/>
              <w:ind w:left="0"/>
              <w:jc w:val="left"/>
              <w:rPr>
                <w:sz w:val="22"/>
              </w:rPr>
            </w:pPr>
            <w:r>
              <w:rPr>
                <w:sz w:val="22"/>
              </w:rPr>
              <w:t>The DfE non-statutory guidance has been produced in conjunction with the National Centre for Excellence in the Teaching of Mathematics, drawing on evidence-based approaches:</w:t>
            </w:r>
          </w:p>
          <w:p w14:paraId="4AE66717" w14:textId="77777777" w:rsidR="00F309FE" w:rsidRDefault="00F309FE" w:rsidP="00B03632">
            <w:pPr>
              <w:pStyle w:val="TableRowCentered"/>
              <w:ind w:left="0"/>
              <w:jc w:val="left"/>
              <w:rPr>
                <w:sz w:val="22"/>
              </w:rPr>
            </w:pPr>
          </w:p>
          <w:p w14:paraId="0F889092" w14:textId="7CC2AA60" w:rsidR="00F309FE" w:rsidRDefault="00DE075E" w:rsidP="00B03632">
            <w:pPr>
              <w:pStyle w:val="TableRowCentered"/>
              <w:ind w:left="0"/>
              <w:jc w:val="left"/>
              <w:rPr>
                <w:sz w:val="22"/>
              </w:rPr>
            </w:pPr>
            <w:hyperlink r:id="rId17" w:history="1">
              <w:r w:rsidR="007F17E2" w:rsidRPr="00121FF0">
                <w:rPr>
                  <w:rStyle w:val="Hyperlink"/>
                  <w:sz w:val="22"/>
                </w:rPr>
                <w:t>https://educationendowmentfoundation.org.uk/education-evidence/guidance-reports/early-maths</w:t>
              </w:r>
            </w:hyperlink>
          </w:p>
          <w:p w14:paraId="376CE489" w14:textId="77777777" w:rsidR="007F17E2" w:rsidRDefault="007F17E2" w:rsidP="00B03632">
            <w:pPr>
              <w:pStyle w:val="TableRowCentered"/>
              <w:ind w:left="0"/>
              <w:jc w:val="left"/>
              <w:rPr>
                <w:sz w:val="22"/>
              </w:rPr>
            </w:pPr>
          </w:p>
          <w:p w14:paraId="6D6267B7" w14:textId="77777777" w:rsidR="007F17E2" w:rsidRDefault="00DE075E" w:rsidP="00B03632">
            <w:pPr>
              <w:pStyle w:val="TableRowCentered"/>
              <w:ind w:left="0"/>
              <w:jc w:val="left"/>
              <w:rPr>
                <w:sz w:val="22"/>
              </w:rPr>
            </w:pPr>
            <w:hyperlink r:id="rId18" w:history="1">
              <w:r w:rsidR="007F17E2" w:rsidRPr="00121FF0">
                <w:rPr>
                  <w:rStyle w:val="Hyperlink"/>
                  <w:sz w:val="22"/>
                </w:rPr>
                <w:t>https://educationendowmentfoundation.org.uk/education-evidence/guidance-reports/maths-ks-2-3</w:t>
              </w:r>
            </w:hyperlink>
            <w:r w:rsidR="007F17E2">
              <w:rPr>
                <w:sz w:val="22"/>
              </w:rPr>
              <w:t xml:space="preserve"> </w:t>
            </w:r>
          </w:p>
          <w:p w14:paraId="594ED05A" w14:textId="77777777" w:rsidR="00794C90" w:rsidRDefault="00794C90" w:rsidP="00B03632">
            <w:pPr>
              <w:pStyle w:val="TableRowCentered"/>
              <w:ind w:left="0"/>
              <w:jc w:val="left"/>
              <w:rPr>
                <w:sz w:val="22"/>
              </w:rPr>
            </w:pPr>
          </w:p>
          <w:p w14:paraId="51DAA3DD" w14:textId="3BC3A39F" w:rsidR="00794C90" w:rsidRDefault="00DE075E" w:rsidP="00B03632">
            <w:pPr>
              <w:pStyle w:val="TableRowCentered"/>
              <w:ind w:left="0"/>
              <w:jc w:val="left"/>
              <w:rPr>
                <w:sz w:val="22"/>
              </w:rPr>
            </w:pPr>
            <w:hyperlink r:id="rId19" w:history="1">
              <w:r w:rsidR="00794C90" w:rsidRPr="00794C90">
                <w:rPr>
                  <w:rStyle w:val="Hyperlink"/>
                  <w:sz w:val="22"/>
                </w:rPr>
                <w:t>Maths_guidance_KS_1_and_2.pdf</w:t>
              </w:r>
            </w:hyperlink>
            <w:r w:rsidR="00794C90">
              <w:rPr>
                <w:sz w:val="22"/>
              </w:rPr>
              <w:t xml:space="preserve">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D38A4" w14:textId="672F8D5E" w:rsidR="00B03632" w:rsidRDefault="00E36484">
            <w:pPr>
              <w:pStyle w:val="TableRowCentered"/>
              <w:jc w:val="left"/>
              <w:rPr>
                <w:sz w:val="22"/>
              </w:rPr>
            </w:pPr>
            <w:r>
              <w:rPr>
                <w:sz w:val="22"/>
              </w:rPr>
              <w:t>4</w:t>
            </w: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04C2D287" w:rsidR="00E66558" w:rsidRDefault="009D71E8">
      <w:r>
        <w:t xml:space="preserve">Budgeted cost: £ </w:t>
      </w:r>
      <w:r w:rsidR="00F5612D">
        <w:rPr>
          <w:i/>
          <w:iCs/>
        </w:rPr>
        <w:t>32,000</w:t>
      </w:r>
    </w:p>
    <w:tbl>
      <w:tblPr>
        <w:tblW w:w="5000" w:type="pct"/>
        <w:tblCellMar>
          <w:left w:w="10" w:type="dxa"/>
          <w:right w:w="10" w:type="dxa"/>
        </w:tblCellMar>
        <w:tblLook w:val="04A0" w:firstRow="1" w:lastRow="0" w:firstColumn="1" w:lastColumn="0" w:noHBand="0" w:noVBand="1"/>
      </w:tblPr>
      <w:tblGrid>
        <w:gridCol w:w="2609"/>
        <w:gridCol w:w="5346"/>
        <w:gridCol w:w="1531"/>
      </w:tblGrid>
      <w:tr w:rsidR="00E66558" w14:paraId="2A7D5528" w14:textId="77777777" w:rsidTr="0012574D">
        <w:tc>
          <w:tcPr>
            <w:tcW w:w="26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534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153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DF5734" w14:paraId="2A7D552C" w14:textId="77777777" w:rsidTr="0012574D">
        <w:tc>
          <w:tcPr>
            <w:tcW w:w="26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21A9BD65" w:rsidR="00DF5734" w:rsidRDefault="00DF5734" w:rsidP="00DF5734">
            <w:pPr>
              <w:pStyle w:val="TableRow"/>
            </w:pPr>
            <w:r w:rsidRPr="00E27862">
              <w:rPr>
                <w:rFonts w:cs="Arial"/>
                <w:iCs/>
                <w:color w:val="auto"/>
                <w:lang w:val="en-US"/>
              </w:rPr>
              <w:t>Purchase of programme to improve listening, narrative and vocabulary skills for disadvantaged pupils who have relatively low spoken language skills.</w:t>
            </w:r>
          </w:p>
        </w:tc>
        <w:tc>
          <w:tcPr>
            <w:tcW w:w="5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1B45F" w14:textId="77777777" w:rsidR="00DF5734" w:rsidRPr="00E27862" w:rsidRDefault="00DF5734" w:rsidP="00DF5734">
            <w:pPr>
              <w:pStyle w:val="TableRowCentered"/>
              <w:jc w:val="left"/>
              <w:rPr>
                <w:rFonts w:cs="Arial"/>
                <w:color w:val="auto"/>
                <w:szCs w:val="24"/>
              </w:rPr>
            </w:pPr>
            <w:r w:rsidRPr="00E27862">
              <w:rPr>
                <w:rFonts w:cs="Arial"/>
                <w:color w:val="auto"/>
                <w:szCs w:val="24"/>
              </w:rPr>
              <w:t>Oral language interventions can have a positive impact on pupils’ language skills. Approaches that focus on speaking, listening and a combination of the two show positive impacts on attainment:</w:t>
            </w:r>
          </w:p>
          <w:p w14:paraId="0E41641A" w14:textId="77777777" w:rsidR="00DF5734" w:rsidRPr="000106A2" w:rsidRDefault="00DE075E" w:rsidP="00DF5734">
            <w:pPr>
              <w:pStyle w:val="TableRowCentered"/>
              <w:spacing w:after="120"/>
              <w:jc w:val="left"/>
              <w:rPr>
                <w:color w:val="0070C0"/>
                <w:szCs w:val="24"/>
              </w:rPr>
            </w:pPr>
            <w:hyperlink r:id="rId20" w:history="1">
              <w:r w:rsidR="00DF5734" w:rsidRPr="000106A2">
                <w:rPr>
                  <w:color w:val="0070C0"/>
                  <w:szCs w:val="24"/>
                  <w:u w:val="single"/>
                </w:rPr>
                <w:t>Oral language interventions | EEF (educationendowmentfoundation.org.uk)</w:t>
              </w:r>
            </w:hyperlink>
          </w:p>
          <w:p w14:paraId="2A7D552A" w14:textId="77777777" w:rsidR="00DF5734" w:rsidRDefault="00DF5734" w:rsidP="00DF5734">
            <w:pPr>
              <w:pStyle w:val="TableRowCentered"/>
              <w:jc w:val="left"/>
              <w:rPr>
                <w:sz w:val="22"/>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7DA9E6C6" w:rsidR="00DF5734" w:rsidRDefault="00DF5734" w:rsidP="00DF5734">
            <w:pPr>
              <w:pStyle w:val="TableRowCentered"/>
              <w:jc w:val="left"/>
              <w:rPr>
                <w:sz w:val="22"/>
              </w:rPr>
            </w:pPr>
            <w:r w:rsidRPr="00295351">
              <w:rPr>
                <w:color w:val="auto"/>
                <w:szCs w:val="22"/>
              </w:rPr>
              <w:t>1, 4</w:t>
            </w:r>
          </w:p>
        </w:tc>
      </w:tr>
      <w:tr w:rsidR="00DF5734" w14:paraId="2A7D5530" w14:textId="77777777" w:rsidTr="0012574D">
        <w:tc>
          <w:tcPr>
            <w:tcW w:w="26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07D39AD2" w:rsidR="00DF5734" w:rsidRDefault="00DF5734" w:rsidP="00DF5734">
            <w:pPr>
              <w:pStyle w:val="TableRow"/>
              <w:rPr>
                <w:i/>
                <w:sz w:val="22"/>
              </w:rPr>
            </w:pPr>
            <w:r w:rsidRPr="00E27862">
              <w:rPr>
                <w:rFonts w:cs="Arial"/>
                <w:iCs/>
                <w:color w:val="auto"/>
                <w:lang w:val="en-US"/>
              </w:rPr>
              <w:t xml:space="preserve">Additional phonics sessions targeted at disadvantaged pupils who require further phonics support. </w:t>
            </w:r>
          </w:p>
        </w:tc>
        <w:tc>
          <w:tcPr>
            <w:tcW w:w="5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FE324" w14:textId="77777777" w:rsidR="00DF5734" w:rsidRPr="00E27862" w:rsidRDefault="00DF5734" w:rsidP="00DF5734">
            <w:pPr>
              <w:pStyle w:val="TableRowCentered"/>
              <w:jc w:val="left"/>
              <w:rPr>
                <w:rFonts w:cs="Arial"/>
                <w:color w:val="auto"/>
                <w:szCs w:val="24"/>
              </w:rPr>
            </w:pPr>
            <w:r w:rsidRPr="00E27862">
              <w:rPr>
                <w:rFonts w:cs="Arial"/>
                <w:color w:val="auto"/>
                <w:szCs w:val="24"/>
              </w:rPr>
              <w:t>Phonics approaches have a strong evidence base indicating a positive impact on pupils, particularly from disadvantaged backgrounds. Targeted phonics interventions have been shown to be more effective when delivered as regular sessions over a period up to 12 weeks:</w:t>
            </w:r>
          </w:p>
          <w:p w14:paraId="2A7D552E" w14:textId="53A98BA8" w:rsidR="00DF5734" w:rsidRDefault="00DE075E" w:rsidP="00DF5734">
            <w:pPr>
              <w:pStyle w:val="TableRowCentered"/>
              <w:jc w:val="left"/>
              <w:rPr>
                <w:sz w:val="22"/>
              </w:rPr>
            </w:pPr>
            <w:hyperlink r:id="rId21" w:history="1">
              <w:r w:rsidR="00DF5734" w:rsidRPr="00094874">
                <w:rPr>
                  <w:color w:val="0070C0"/>
                  <w:szCs w:val="24"/>
                  <w:u w:val="single"/>
                </w:rPr>
                <w:t>Phonics | Toolkit Strand | Education Endowment Foundation | EEF</w:t>
              </w:r>
            </w:hyperlink>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2A5F92FD" w:rsidR="00DF5734" w:rsidRDefault="00DF5734" w:rsidP="00DF5734">
            <w:pPr>
              <w:pStyle w:val="TableRowCentered"/>
              <w:jc w:val="left"/>
              <w:rPr>
                <w:sz w:val="22"/>
              </w:rPr>
            </w:pPr>
            <w:r w:rsidRPr="00295351">
              <w:rPr>
                <w:color w:val="auto"/>
                <w:szCs w:val="22"/>
              </w:rPr>
              <w:t>2</w:t>
            </w:r>
          </w:p>
        </w:tc>
      </w:tr>
      <w:tr w:rsidR="00DF5734" w:rsidRPr="00295351" w14:paraId="5E2F9EA9" w14:textId="77777777" w:rsidTr="0012574D">
        <w:tc>
          <w:tcPr>
            <w:tcW w:w="26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4BA95" w14:textId="5BE71692" w:rsidR="00DF5734" w:rsidRPr="00E27862" w:rsidRDefault="00DF5734" w:rsidP="00DF5734">
            <w:pPr>
              <w:pStyle w:val="TableRow"/>
              <w:spacing w:after="120"/>
              <w:rPr>
                <w:rFonts w:cs="Arial"/>
                <w:iCs/>
                <w:color w:val="auto"/>
                <w:lang w:val="en-US"/>
              </w:rPr>
            </w:pPr>
            <w:r w:rsidRPr="00E27862">
              <w:rPr>
                <w:rFonts w:cs="Arial"/>
                <w:iCs/>
                <w:color w:val="auto"/>
                <w:lang w:val="en-US"/>
              </w:rPr>
              <w:t xml:space="preserve">Engaging with the National Tutoring </w:t>
            </w:r>
            <w:r w:rsidRPr="00E27862">
              <w:rPr>
                <w:rFonts w:cs="Arial"/>
                <w:iCs/>
                <w:color w:val="auto"/>
                <w:lang w:val="en-US"/>
              </w:rPr>
              <w:lastRenderedPageBreak/>
              <w:t>Programme to provide a blend of tuition, mentoring and school-led tutoring for pupils whose education has been most impacted by the pandemic. A significant proportion of the pupils who receive tutoring will be disadvantaged, including those who are high attainers.</w:t>
            </w:r>
          </w:p>
        </w:tc>
        <w:tc>
          <w:tcPr>
            <w:tcW w:w="5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C75B2" w14:textId="77777777" w:rsidR="00DF5734" w:rsidRPr="00E27862" w:rsidRDefault="00DF5734" w:rsidP="00DF5734">
            <w:pPr>
              <w:suppressAutoHyphens w:val="0"/>
              <w:autoSpaceDN/>
              <w:spacing w:before="60" w:after="60" w:line="240" w:lineRule="auto"/>
              <w:ind w:left="57" w:right="57"/>
              <w:rPr>
                <w:color w:val="auto"/>
              </w:rPr>
            </w:pPr>
            <w:r w:rsidRPr="00E27862">
              <w:rPr>
                <w:color w:val="auto"/>
              </w:rPr>
              <w:lastRenderedPageBreak/>
              <w:t xml:space="preserve">Tuition targeted at specific needs and knowledge gaps can be an effective method to </w:t>
            </w:r>
            <w:r w:rsidRPr="00E27862">
              <w:rPr>
                <w:color w:val="auto"/>
              </w:rPr>
              <w:lastRenderedPageBreak/>
              <w:t>support low attaining pupils or those falling behind, both one-to-one:</w:t>
            </w:r>
          </w:p>
          <w:p w14:paraId="1BFBEE54" w14:textId="77777777" w:rsidR="00DF5734" w:rsidRPr="00094874" w:rsidRDefault="00DE075E" w:rsidP="00DF5734">
            <w:pPr>
              <w:suppressAutoHyphens w:val="0"/>
              <w:autoSpaceDN/>
              <w:spacing w:before="60" w:after="60" w:line="240" w:lineRule="auto"/>
              <w:ind w:left="57" w:right="57"/>
              <w:rPr>
                <w:color w:val="0070C0"/>
              </w:rPr>
            </w:pPr>
            <w:hyperlink r:id="rId22" w:history="1">
              <w:r w:rsidR="00DF5734" w:rsidRPr="00094874">
                <w:rPr>
                  <w:color w:val="0070C0"/>
                  <w:u w:val="single"/>
                </w:rPr>
                <w:t>One to one tuition | EEF (educationendowmentfoundation.org.uk)</w:t>
              </w:r>
            </w:hyperlink>
          </w:p>
          <w:p w14:paraId="2AF2DCFD" w14:textId="77777777" w:rsidR="00DF5734" w:rsidRPr="00E27862" w:rsidRDefault="00DF5734" w:rsidP="00DF5734">
            <w:pPr>
              <w:suppressAutoHyphens w:val="0"/>
              <w:autoSpaceDN/>
              <w:spacing w:before="60" w:after="60" w:line="240" w:lineRule="auto"/>
              <w:ind w:left="57" w:right="57"/>
              <w:rPr>
                <w:color w:val="auto"/>
              </w:rPr>
            </w:pPr>
            <w:r w:rsidRPr="00E27862">
              <w:rPr>
                <w:color w:val="auto"/>
              </w:rPr>
              <w:t>And in small groups:</w:t>
            </w:r>
          </w:p>
          <w:p w14:paraId="4B76AB5D" w14:textId="4214B2E5" w:rsidR="00DF5734" w:rsidRPr="00E27862" w:rsidRDefault="00DE075E" w:rsidP="00DF5734">
            <w:pPr>
              <w:suppressAutoHyphens w:val="0"/>
              <w:autoSpaceDN/>
              <w:spacing w:before="60" w:after="60" w:line="240" w:lineRule="auto"/>
              <w:ind w:left="57" w:right="57"/>
              <w:rPr>
                <w:color w:val="auto"/>
              </w:rPr>
            </w:pPr>
            <w:hyperlink r:id="rId23" w:history="1">
              <w:r w:rsidR="00DF5734" w:rsidRPr="009A7AA4">
                <w:rPr>
                  <w:color w:val="0070C0"/>
                  <w:u w:val="single"/>
                </w:rPr>
                <w:t>Small group tuition | Toolkit Strand | Education Endowment Foundation | EEF</w:t>
              </w:r>
            </w:hyperlink>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8E255" w14:textId="3A7C0623" w:rsidR="00DF5734" w:rsidRPr="00295351" w:rsidRDefault="0012574D" w:rsidP="00DF5734">
            <w:pPr>
              <w:pStyle w:val="TableRowCentered"/>
              <w:jc w:val="left"/>
              <w:rPr>
                <w:color w:val="auto"/>
                <w:szCs w:val="22"/>
              </w:rPr>
            </w:pPr>
            <w:r>
              <w:rPr>
                <w:color w:val="auto"/>
                <w:szCs w:val="22"/>
              </w:rPr>
              <w:lastRenderedPageBreak/>
              <w:t>1,2,3,</w:t>
            </w:r>
            <w:r w:rsidR="00DF5734" w:rsidRPr="00295351">
              <w:rPr>
                <w:color w:val="auto"/>
                <w:szCs w:val="22"/>
              </w:rPr>
              <w:t>4</w:t>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0BA4DDE6" w:rsidR="00E66558" w:rsidRDefault="009D71E8">
      <w:pPr>
        <w:spacing w:before="240" w:after="120"/>
      </w:pPr>
      <w:r>
        <w:t xml:space="preserve">Budgeted cost: £ </w:t>
      </w:r>
      <w:r w:rsidR="00F5612D">
        <w:rPr>
          <w:i/>
          <w:iCs/>
        </w:rPr>
        <w:t>7000</w:t>
      </w:r>
    </w:p>
    <w:tbl>
      <w:tblPr>
        <w:tblW w:w="5000" w:type="pct"/>
        <w:tblCellMar>
          <w:left w:w="10" w:type="dxa"/>
          <w:right w:w="10" w:type="dxa"/>
        </w:tblCellMar>
        <w:tblLook w:val="04A0" w:firstRow="1" w:lastRow="0" w:firstColumn="1" w:lastColumn="0" w:noHBand="0" w:noVBand="1"/>
      </w:tblPr>
      <w:tblGrid>
        <w:gridCol w:w="2204"/>
        <w:gridCol w:w="5861"/>
        <w:gridCol w:w="1421"/>
      </w:tblGrid>
      <w:tr w:rsidR="00E66558" w14:paraId="2A7D5537" w14:textId="77777777" w:rsidTr="00E04743">
        <w:tc>
          <w:tcPr>
            <w:tcW w:w="198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608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142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8903FD" w14:paraId="58E765C6" w14:textId="77777777" w:rsidTr="00E04743">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203A6" w14:textId="565821A2" w:rsidR="008903FD" w:rsidRPr="00E04743" w:rsidRDefault="001B4E2A">
            <w:pPr>
              <w:pStyle w:val="TableHeader"/>
              <w:jc w:val="left"/>
              <w:rPr>
                <w:b w:val="0"/>
                <w:bCs/>
              </w:rPr>
            </w:pPr>
            <w:r w:rsidRPr="00E04743">
              <w:rPr>
                <w:b w:val="0"/>
                <w:bCs/>
              </w:rPr>
              <w:t>Enrichment and after school clubs</w:t>
            </w:r>
            <w:r w:rsidR="00105F63">
              <w:rPr>
                <w:b w:val="0"/>
                <w:bCs/>
              </w:rPr>
              <w:t xml:space="preserve"> </w:t>
            </w:r>
            <w:r w:rsidR="006A5483">
              <w:rPr>
                <w:b w:val="0"/>
                <w:bCs/>
              </w:rPr>
              <w:t>will be available for all children including disadvantaged children.</w:t>
            </w:r>
          </w:p>
        </w:tc>
        <w:tc>
          <w:tcPr>
            <w:tcW w:w="6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3D393" w14:textId="009618F5" w:rsidR="006A5483" w:rsidRPr="009136EA" w:rsidRDefault="006A5483">
            <w:pPr>
              <w:pStyle w:val="TableHeader"/>
              <w:jc w:val="left"/>
              <w:rPr>
                <w:b w:val="0"/>
                <w:bCs/>
              </w:rPr>
            </w:pPr>
            <w:r w:rsidRPr="009136EA">
              <w:rPr>
                <w:b w:val="0"/>
                <w:bCs/>
              </w:rPr>
              <w:t>Aspirational intervention</w:t>
            </w:r>
            <w:r w:rsidR="009136EA" w:rsidRPr="009136EA">
              <w:rPr>
                <w:b w:val="0"/>
                <w:bCs/>
              </w:rPr>
              <w:t xml:space="preserve"> </w:t>
            </w:r>
            <w:r w:rsidR="009136EA" w:rsidRPr="009136EA">
              <w:rPr>
                <w:rFonts w:ascii="Helvetica" w:hAnsi="Helvetica" w:cs="Helvetica"/>
                <w:b w:val="0"/>
                <w:bCs/>
                <w:color w:val="auto"/>
                <w:shd w:val="clear" w:color="auto" w:fill="FAFAFA"/>
              </w:rPr>
              <w:t>Most young people have high aspirations for themselves. Ensuring that students have the knowledge and skills to progress towards their aspirations is likely to be more effective than intervening to change the aspirations themselves</w:t>
            </w:r>
          </w:p>
          <w:p w14:paraId="3862E2FA" w14:textId="5D33E18D" w:rsidR="008903FD" w:rsidRPr="00E04743" w:rsidRDefault="00DE075E">
            <w:pPr>
              <w:pStyle w:val="TableHeader"/>
              <w:jc w:val="left"/>
              <w:rPr>
                <w:b w:val="0"/>
                <w:bCs/>
              </w:rPr>
            </w:pPr>
            <w:hyperlink r:id="rId24" w:history="1">
              <w:r w:rsidR="006A5483" w:rsidRPr="00C45EAB">
                <w:rPr>
                  <w:rStyle w:val="Hyperlink"/>
                  <w:b w:val="0"/>
                  <w:bCs/>
                </w:rPr>
                <w:t>https://educationendowmentfoundation.org.uk/education-evidence/teaching-learning-toolkit/aspiration-interventions</w:t>
              </w:r>
            </w:hyperlink>
            <w:r w:rsidR="001B4E2A" w:rsidRPr="00E04743">
              <w:rPr>
                <w:b w:val="0"/>
                <w:bCs/>
              </w:rPr>
              <w:t xml:space="preserve"> </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A6B69" w14:textId="6E5281FD" w:rsidR="008903FD" w:rsidRPr="00E04743" w:rsidRDefault="00E04743">
            <w:pPr>
              <w:pStyle w:val="TableHeader"/>
              <w:jc w:val="left"/>
              <w:rPr>
                <w:b w:val="0"/>
                <w:bCs/>
              </w:rPr>
            </w:pPr>
            <w:r w:rsidRPr="00E04743">
              <w:rPr>
                <w:b w:val="0"/>
                <w:bCs/>
              </w:rPr>
              <w:t>5,6</w:t>
            </w:r>
          </w:p>
        </w:tc>
      </w:tr>
      <w:tr w:rsidR="008903FD" w14:paraId="2A7D553B" w14:textId="77777777" w:rsidTr="00E04743">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09475" w14:textId="77777777" w:rsidR="008903FD" w:rsidRPr="00E27862" w:rsidRDefault="008903FD" w:rsidP="008903FD">
            <w:pPr>
              <w:pStyle w:val="TableRow"/>
              <w:spacing w:after="120"/>
              <w:ind w:left="29"/>
              <w:rPr>
                <w:iCs/>
                <w:color w:val="auto"/>
                <w:szCs w:val="28"/>
                <w:lang w:val="en-US"/>
              </w:rPr>
            </w:pPr>
            <w:r w:rsidRPr="00E27862">
              <w:rPr>
                <w:iCs/>
                <w:color w:val="auto"/>
                <w:szCs w:val="28"/>
                <w:lang w:val="en-US"/>
              </w:rPr>
              <w:t xml:space="preserve">Embedding principles of good practice set out in the DfE’s </w:t>
            </w:r>
            <w:hyperlink r:id="rId25" w:history="1">
              <w:r w:rsidRPr="009A7AA4">
                <w:rPr>
                  <w:rStyle w:val="Hyperlink"/>
                  <w:iCs/>
                  <w:color w:val="0070C0"/>
                  <w:szCs w:val="28"/>
                  <w:lang w:val="en-US"/>
                </w:rPr>
                <w:t>Improving School Attendance</w:t>
              </w:r>
            </w:hyperlink>
            <w:r w:rsidRPr="009A7AA4">
              <w:rPr>
                <w:iCs/>
                <w:color w:val="0070C0"/>
                <w:szCs w:val="28"/>
                <w:lang w:val="en-US"/>
              </w:rPr>
              <w:t xml:space="preserve"> </w:t>
            </w:r>
            <w:r w:rsidRPr="00E27862">
              <w:rPr>
                <w:iCs/>
                <w:color w:val="auto"/>
                <w:szCs w:val="28"/>
                <w:lang w:val="en-US"/>
              </w:rPr>
              <w:t>advice.</w:t>
            </w:r>
          </w:p>
          <w:p w14:paraId="2A7D5538" w14:textId="607C0FB7" w:rsidR="008903FD" w:rsidRDefault="008903FD" w:rsidP="008903FD">
            <w:pPr>
              <w:pStyle w:val="TableRow"/>
            </w:pPr>
            <w:r w:rsidRPr="00E27862">
              <w:rPr>
                <w:iCs/>
                <w:color w:val="auto"/>
                <w:szCs w:val="28"/>
                <w:lang w:val="en-US"/>
              </w:rPr>
              <w:t xml:space="preserve">This will involve training and release time for staff to develop and implement new procedures and appointing </w:t>
            </w:r>
            <w:r w:rsidRPr="00E27862">
              <w:rPr>
                <w:iCs/>
                <w:color w:val="auto"/>
                <w:szCs w:val="28"/>
                <w:lang w:val="en-US"/>
              </w:rPr>
              <w:lastRenderedPageBreak/>
              <w:t xml:space="preserve">attendance/support officers to improve attendance. </w:t>
            </w:r>
          </w:p>
        </w:tc>
        <w:tc>
          <w:tcPr>
            <w:tcW w:w="6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9" w14:textId="1273B6B3" w:rsidR="008903FD" w:rsidRDefault="008903FD" w:rsidP="008903FD">
            <w:pPr>
              <w:pStyle w:val="TableRowCentered"/>
              <w:jc w:val="left"/>
              <w:rPr>
                <w:sz w:val="22"/>
              </w:rPr>
            </w:pPr>
            <w:r w:rsidRPr="00E27862">
              <w:rPr>
                <w:color w:val="auto"/>
              </w:rPr>
              <w:lastRenderedPageBreak/>
              <w:t xml:space="preserve">The DfE guidance has been informed by engagement with schools that have significantly reduced levels of absence and persistent absence. </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3EFFC317" w:rsidR="008903FD" w:rsidRDefault="008903FD" w:rsidP="008903FD">
            <w:pPr>
              <w:pStyle w:val="TableRowCentered"/>
              <w:jc w:val="left"/>
              <w:rPr>
                <w:sz w:val="22"/>
              </w:rPr>
            </w:pPr>
            <w:r>
              <w:rPr>
                <w:color w:val="auto"/>
                <w:sz w:val="22"/>
              </w:rPr>
              <w:t>5</w:t>
            </w:r>
          </w:p>
        </w:tc>
      </w:tr>
      <w:tr w:rsidR="008903FD" w14:paraId="2A7D553F" w14:textId="77777777" w:rsidTr="00E04743">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01E16" w14:textId="77777777" w:rsidR="008903FD" w:rsidRPr="00E27862" w:rsidRDefault="008903FD" w:rsidP="008903FD">
            <w:pPr>
              <w:suppressAutoHyphens w:val="0"/>
              <w:autoSpaceDN/>
              <w:spacing w:before="60" w:after="60" w:line="240" w:lineRule="auto"/>
              <w:ind w:left="29" w:right="57"/>
              <w:rPr>
                <w:iCs/>
                <w:color w:val="auto"/>
                <w:szCs w:val="28"/>
                <w:lang w:val="en-US"/>
              </w:rPr>
            </w:pPr>
            <w:r w:rsidRPr="00E27862">
              <w:rPr>
                <w:iCs/>
                <w:color w:val="auto"/>
                <w:szCs w:val="28"/>
                <w:lang w:val="en-US"/>
              </w:rPr>
              <w:t>Contingency fund for acute issues.</w:t>
            </w:r>
          </w:p>
          <w:p w14:paraId="2A7D553C" w14:textId="77777777" w:rsidR="008903FD" w:rsidRDefault="008903FD" w:rsidP="008903FD">
            <w:pPr>
              <w:pStyle w:val="TableRow"/>
              <w:rPr>
                <w:i/>
                <w:sz w:val="22"/>
              </w:rPr>
            </w:pPr>
          </w:p>
        </w:tc>
        <w:tc>
          <w:tcPr>
            <w:tcW w:w="6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3E5EF341" w:rsidR="008903FD" w:rsidRDefault="008903FD" w:rsidP="008903FD">
            <w:pPr>
              <w:pStyle w:val="TableRowCentered"/>
              <w:jc w:val="left"/>
              <w:rPr>
                <w:sz w:val="22"/>
              </w:rPr>
            </w:pPr>
            <w:r w:rsidRPr="00E27862">
              <w:rPr>
                <w:color w:val="auto"/>
                <w:szCs w:val="22"/>
              </w:rPr>
              <w:t>Based on our experiences and those of similar schools to ours, we have identified a need to set a small amount of funding aside to respond quickly to needs that have not yet been identified.</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5BA6E678" w:rsidR="008903FD" w:rsidRDefault="008903FD" w:rsidP="008903FD">
            <w:pPr>
              <w:pStyle w:val="TableRowCentered"/>
              <w:jc w:val="left"/>
              <w:rPr>
                <w:sz w:val="22"/>
              </w:rPr>
            </w:pPr>
            <w:r w:rsidRPr="00E27862">
              <w:rPr>
                <w:color w:val="auto"/>
                <w:sz w:val="22"/>
              </w:rPr>
              <w:t>All</w:t>
            </w:r>
          </w:p>
        </w:tc>
      </w:tr>
    </w:tbl>
    <w:p w14:paraId="2A7D5540" w14:textId="77777777" w:rsidR="00E66558" w:rsidRDefault="00E66558">
      <w:pPr>
        <w:spacing w:before="240" w:after="0"/>
        <w:rPr>
          <w:b/>
          <w:bCs/>
          <w:color w:val="104F75"/>
          <w:sz w:val="28"/>
          <w:szCs w:val="28"/>
        </w:rPr>
      </w:pPr>
    </w:p>
    <w:p w14:paraId="2A7D5541" w14:textId="3E72670A" w:rsidR="00E66558" w:rsidRDefault="009D71E8" w:rsidP="00120AB1">
      <w:r>
        <w:rPr>
          <w:b/>
          <w:bCs/>
          <w:color w:val="104F75"/>
          <w:sz w:val="28"/>
          <w:szCs w:val="28"/>
        </w:rPr>
        <w:t xml:space="preserve">Total budgeted cost: £ </w:t>
      </w:r>
      <w:r w:rsidR="00F5612D">
        <w:rPr>
          <w:i/>
          <w:iCs/>
          <w:color w:val="104F75"/>
          <w:sz w:val="28"/>
          <w:szCs w:val="28"/>
        </w:rPr>
        <w:t>58,740</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77777777" w:rsidR="00E66558" w:rsidRDefault="009D71E8">
      <w:r>
        <w:t xml:space="preserve">This details the impact that our pupil premium activity had on pupils in the 2020 to 2021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A86D" w14:textId="4BF3CE66" w:rsidR="0023350B" w:rsidRDefault="00B146C5">
            <w:pPr>
              <w:spacing w:before="120"/>
              <w:rPr>
                <w:iCs/>
              </w:rPr>
            </w:pPr>
            <w:r>
              <w:rPr>
                <w:iCs/>
              </w:rPr>
              <w:t xml:space="preserve">Our internal assessments during 2020/21 show that progress and attainment of disadvantaged was slightly lower than </w:t>
            </w:r>
            <w:r w:rsidR="0023350B">
              <w:rPr>
                <w:iCs/>
              </w:rPr>
              <w:t>the previous years in reading, writing and mathematics. The focus for the pupil premium strategy for this plan continues to be attainment and progress of disadvantaged pupils including those who are higher attainers.</w:t>
            </w:r>
          </w:p>
          <w:p w14:paraId="6341F2AC" w14:textId="5FB45885" w:rsidR="005C3B85" w:rsidRDefault="005C3B85">
            <w:pPr>
              <w:spacing w:before="120"/>
              <w:rPr>
                <w:iCs/>
              </w:rPr>
            </w:pPr>
            <w:r>
              <w:rPr>
                <w:iCs/>
              </w:rPr>
              <w:t>Our assessments of the reasons for these outcomes points primarily to COVID-19 impact. As evidenced in schools across the country, school closure was detrimental to our disadvantaged pupils, and they were not able to benefit from our pupil premium funded improvements to teaching and targeted interventions to the degree we had hoped. The impact was mitigated by our resolution to maintain a high quality curriculum, including during periods of partial closure, which was aided by use of online</w:t>
            </w:r>
            <w:r w:rsidR="004625B6">
              <w:rPr>
                <w:iCs/>
              </w:rPr>
              <w:t xml:space="preserve"> resources and learning platforms such as Seesaw.</w:t>
            </w:r>
          </w:p>
          <w:p w14:paraId="4FDFBA14" w14:textId="2C259B00" w:rsidR="0023350B" w:rsidRDefault="0023350B">
            <w:pPr>
              <w:spacing w:before="120"/>
              <w:rPr>
                <w:iCs/>
              </w:rPr>
            </w:pPr>
            <w:r>
              <w:rPr>
                <w:iCs/>
              </w:rPr>
              <w:t>Internal assessments and moderation of work identifies that the impact of COVID-19 restrictions has disrupted most children’s learning across the curriculum and the ability of the school and families to enrich the children’s lives and experiences beyond the school day. The pupil premium strategy will continue to support all pupils including disadvantaged pupils to ensure that they are able to participate in a full and rich curriculum inside and outside of the classroom. Internal observations have also proven an increase in the pupil’s mental health and well being when the school is able to provide</w:t>
            </w:r>
            <w:r w:rsidR="006554BE">
              <w:rPr>
                <w:iCs/>
              </w:rPr>
              <w:t xml:space="preserve"> extra-curricular activities including after school clubs. This strategy will continue to support disadvantaged pupils accessing these.</w:t>
            </w:r>
          </w:p>
          <w:p w14:paraId="2A7D5546" w14:textId="0F18F821" w:rsidR="00E66558" w:rsidRPr="005C3B85" w:rsidRDefault="006554BE" w:rsidP="005C3B85">
            <w:pPr>
              <w:spacing w:before="120"/>
              <w:rPr>
                <w:iCs/>
              </w:rPr>
            </w:pPr>
            <w:r>
              <w:rPr>
                <w:iCs/>
              </w:rPr>
              <w:t>Attendance</w:t>
            </w:r>
            <w:r w:rsidR="0072578F">
              <w:rPr>
                <w:iCs/>
              </w:rPr>
              <w:t xml:space="preserve"> of all disadvantaged pupils was lower tha</w:t>
            </w:r>
            <w:r w:rsidR="005C3B85">
              <w:rPr>
                <w:iCs/>
              </w:rPr>
              <w:t>n</w:t>
            </w:r>
            <w:r w:rsidR="0072578F">
              <w:rPr>
                <w:iCs/>
              </w:rPr>
              <w:t xml:space="preserve"> the</w:t>
            </w:r>
            <w:r w:rsidR="005C3B85">
              <w:rPr>
                <w:iCs/>
              </w:rPr>
              <w:t>ir</w:t>
            </w:r>
            <w:r w:rsidR="0072578F">
              <w:rPr>
                <w:iCs/>
              </w:rPr>
              <w:t xml:space="preserve"> peers last academic year. At times when all pupils were expected to attend school, absence among disadvantaged pupils was 4.5% higher than their peers. The pupil premium strategy continues to focus on attendance of all pupils including disadvantaged pupils</w:t>
            </w:r>
            <w:r w:rsidR="005C3B85">
              <w:rPr>
                <w:iCs/>
              </w:rPr>
              <w:t xml:space="preserve"> to ensure that all pupils attendance is at least inline with national to ensure the children obtain a sustained and sequenced curriculum without any attendance gaps. </w:t>
            </w:r>
            <w:r w:rsidR="009D71E8">
              <w:rPr>
                <w:i/>
                <w:lang w:eastAsia="en-US"/>
              </w:rPr>
              <w:t xml:space="preserve"> </w:t>
            </w:r>
          </w:p>
        </w:tc>
      </w:tr>
    </w:tbl>
    <w:p w14:paraId="2A7D5548" w14:textId="77777777" w:rsidR="00E66558" w:rsidRDefault="009D71E8">
      <w:pPr>
        <w:pStyle w:val="Heading2"/>
        <w:spacing w:before="600"/>
      </w:pPr>
      <w:r>
        <w:lastRenderedPageBreak/>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166E9BD5" w:rsidR="00E66558" w:rsidRDefault="004625B6">
            <w:pPr>
              <w:pStyle w:val="TableRow"/>
            </w:pPr>
            <w:r>
              <w:t>Read, Write, Inc</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6AB54154" w:rsidR="00E66558" w:rsidRDefault="004625B6">
            <w:pPr>
              <w:pStyle w:val="TableRowCentered"/>
              <w:jc w:val="left"/>
            </w:pPr>
            <w:r>
              <w:t>Ruth Miskin</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Default="00E66558">
            <w:pPr>
              <w:pStyle w:val="TableRowCentered"/>
              <w:jc w:val="left"/>
            </w:pPr>
          </w:p>
        </w:tc>
      </w:tr>
    </w:tbl>
    <w:p w14:paraId="2A7D555E" w14:textId="77777777" w:rsidR="00E66558" w:rsidRDefault="00E66558"/>
    <w:p w14:paraId="2A7D555F" w14:textId="77777777" w:rsidR="00E66558" w:rsidRDefault="00E66558">
      <w:pPr>
        <w:spacing w:after="0" w:line="240" w:lineRule="auto"/>
      </w:pPr>
    </w:p>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61" w14:textId="77777777" w:rsidR="00E66558" w:rsidRDefault="009D71E8">
            <w:pPr>
              <w:spacing w:before="120" w:after="120"/>
              <w:rPr>
                <w:rFonts w:cs="Arial"/>
                <w:i/>
                <w:iCs/>
              </w:rPr>
            </w:pPr>
            <w:r>
              <w:rPr>
                <w:rFonts w:cs="Arial"/>
                <w:i/>
                <w:iCs/>
              </w:rPr>
              <w:t>Use this space to provide any further information about your pupil premium strategy. For example, about your strategy planning, or other activity that you are implementing to support disadvantaged pupils, that is not dependent on pupil premium or recovery premium funding.</w:t>
            </w:r>
          </w:p>
          <w:p w14:paraId="2A7D5562" w14:textId="77777777" w:rsidR="00E66558" w:rsidRDefault="00E66558">
            <w:pPr>
              <w:spacing w:before="120" w:after="120"/>
              <w:rPr>
                <w:i/>
                <w:iCs/>
              </w:rPr>
            </w:pPr>
          </w:p>
        </w:tc>
      </w:tr>
      <w:bookmarkEnd w:id="14"/>
      <w:bookmarkEnd w:id="15"/>
      <w:bookmarkEnd w:id="16"/>
    </w:tbl>
    <w:p w14:paraId="2A7D5564" w14:textId="77777777" w:rsidR="00E66558" w:rsidRDefault="00E66558"/>
    <w:sectPr w:rsidR="00E66558">
      <w:headerReference w:type="default" r:id="rId26"/>
      <w:footerReference w:type="default" r:id="rId27"/>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8202A" w14:textId="77777777" w:rsidR="00DE075E" w:rsidRDefault="00DE075E">
      <w:pPr>
        <w:spacing w:after="0" w:line="240" w:lineRule="auto"/>
      </w:pPr>
      <w:r>
        <w:separator/>
      </w:r>
    </w:p>
  </w:endnote>
  <w:endnote w:type="continuationSeparator" w:id="0">
    <w:p w14:paraId="3AC7630C" w14:textId="77777777" w:rsidR="00DE075E" w:rsidRDefault="00DE0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77777777" w:rsidR="005E28A4"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F6107" w14:textId="77777777" w:rsidR="00DE075E" w:rsidRDefault="00DE075E">
      <w:pPr>
        <w:spacing w:after="0" w:line="240" w:lineRule="auto"/>
      </w:pPr>
      <w:r>
        <w:separator/>
      </w:r>
    </w:p>
  </w:footnote>
  <w:footnote w:type="continuationSeparator" w:id="0">
    <w:p w14:paraId="086FF5F3" w14:textId="77777777" w:rsidR="00DE075E" w:rsidRDefault="00DE07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5E28A4" w:rsidRDefault="00DE07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C6B6250"/>
    <w:multiLevelType w:val="hybridMultilevel"/>
    <w:tmpl w:val="B492F38A"/>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1"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2"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77804030"/>
    <w:multiLevelType w:val="hybridMultilevel"/>
    <w:tmpl w:val="5FC21306"/>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5" w15:restartNumberingAfterBreak="0">
    <w:nsid w:val="792D7EDC"/>
    <w:multiLevelType w:val="hybridMultilevel"/>
    <w:tmpl w:val="31C838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5"/>
  </w:num>
  <w:num w:numId="4">
    <w:abstractNumId w:val="6"/>
  </w:num>
  <w:num w:numId="5">
    <w:abstractNumId w:val="0"/>
  </w:num>
  <w:num w:numId="6">
    <w:abstractNumId w:val="7"/>
  </w:num>
  <w:num w:numId="7">
    <w:abstractNumId w:val="9"/>
  </w:num>
  <w:num w:numId="8">
    <w:abstractNumId w:val="13"/>
  </w:num>
  <w:num w:numId="9">
    <w:abstractNumId w:val="11"/>
  </w:num>
  <w:num w:numId="10">
    <w:abstractNumId w:val="10"/>
  </w:num>
  <w:num w:numId="11">
    <w:abstractNumId w:val="3"/>
  </w:num>
  <w:num w:numId="12">
    <w:abstractNumId w:val="12"/>
  </w:num>
  <w:num w:numId="13">
    <w:abstractNumId w:val="8"/>
  </w:num>
  <w:num w:numId="14">
    <w:abstractNumId w:val="14"/>
  </w:num>
  <w:num w:numId="15">
    <w:abstractNumId w:val="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47571"/>
    <w:rsid w:val="00065E39"/>
    <w:rsid w:val="00066B73"/>
    <w:rsid w:val="000D43DD"/>
    <w:rsid w:val="00101406"/>
    <w:rsid w:val="00105F63"/>
    <w:rsid w:val="00111A2C"/>
    <w:rsid w:val="00111B83"/>
    <w:rsid w:val="00120AB1"/>
    <w:rsid w:val="0012574D"/>
    <w:rsid w:val="00125E30"/>
    <w:rsid w:val="00195508"/>
    <w:rsid w:val="001B4E2A"/>
    <w:rsid w:val="00206EC5"/>
    <w:rsid w:val="0021421E"/>
    <w:rsid w:val="0023350B"/>
    <w:rsid w:val="0029677A"/>
    <w:rsid w:val="002D4665"/>
    <w:rsid w:val="002F7869"/>
    <w:rsid w:val="003B32AB"/>
    <w:rsid w:val="004044AA"/>
    <w:rsid w:val="004625B6"/>
    <w:rsid w:val="004A6FFA"/>
    <w:rsid w:val="004A76FE"/>
    <w:rsid w:val="004B3797"/>
    <w:rsid w:val="00543B1B"/>
    <w:rsid w:val="00561459"/>
    <w:rsid w:val="005C0AE8"/>
    <w:rsid w:val="005C3B85"/>
    <w:rsid w:val="005F6EBD"/>
    <w:rsid w:val="006554BE"/>
    <w:rsid w:val="00696D9A"/>
    <w:rsid w:val="006A5483"/>
    <w:rsid w:val="006E7FB1"/>
    <w:rsid w:val="0072578F"/>
    <w:rsid w:val="00741B9E"/>
    <w:rsid w:val="00794C90"/>
    <w:rsid w:val="007C2F04"/>
    <w:rsid w:val="007F17E2"/>
    <w:rsid w:val="0080409F"/>
    <w:rsid w:val="008903FD"/>
    <w:rsid w:val="00896427"/>
    <w:rsid w:val="008E2980"/>
    <w:rsid w:val="008E30AD"/>
    <w:rsid w:val="008F387B"/>
    <w:rsid w:val="009136EA"/>
    <w:rsid w:val="009C77F7"/>
    <w:rsid w:val="009D71E8"/>
    <w:rsid w:val="009D7D64"/>
    <w:rsid w:val="00AA4201"/>
    <w:rsid w:val="00AD4FA8"/>
    <w:rsid w:val="00B03632"/>
    <w:rsid w:val="00B146C5"/>
    <w:rsid w:val="00BD2EB3"/>
    <w:rsid w:val="00BD3512"/>
    <w:rsid w:val="00C03D99"/>
    <w:rsid w:val="00C36FDE"/>
    <w:rsid w:val="00C55D21"/>
    <w:rsid w:val="00C614BA"/>
    <w:rsid w:val="00C8642E"/>
    <w:rsid w:val="00C97659"/>
    <w:rsid w:val="00CB3BA3"/>
    <w:rsid w:val="00D0109E"/>
    <w:rsid w:val="00D058B3"/>
    <w:rsid w:val="00D07840"/>
    <w:rsid w:val="00D32C4C"/>
    <w:rsid w:val="00D33FE5"/>
    <w:rsid w:val="00DE075E"/>
    <w:rsid w:val="00DF5734"/>
    <w:rsid w:val="00E04743"/>
    <w:rsid w:val="00E154F9"/>
    <w:rsid w:val="00E36484"/>
    <w:rsid w:val="00E66558"/>
    <w:rsid w:val="00E85DF1"/>
    <w:rsid w:val="00EA5DD8"/>
    <w:rsid w:val="00F309FE"/>
    <w:rsid w:val="00F5612D"/>
    <w:rsid w:val="00F566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ducationendowmentfoundation.org.uk/education-evidence/guidance-reports/teaching-assistants" TargetMode="External"/><Relationship Id="rId18" Type="http://schemas.openxmlformats.org/officeDocument/2006/relationships/hyperlink" Target="https://educationendowmentfoundation.org.uk/education-evidence/guidance-reports/maths-ks-2-3"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educationendowmentfoundation.org.uk/evidence-summaries/teaching-learning-toolkit/phonics/" TargetMode="External"/><Relationship Id="rId7" Type="http://schemas.openxmlformats.org/officeDocument/2006/relationships/webSettings" Target="webSettings.xml"/><Relationship Id="rId12" Type="http://schemas.openxmlformats.org/officeDocument/2006/relationships/hyperlink" Target="https://educationendowmentfoundation.org.uk/education-evidence/teaching-learning-toolkit/oral-language-interventions" TargetMode="External"/><Relationship Id="rId17" Type="http://schemas.openxmlformats.org/officeDocument/2006/relationships/hyperlink" Target="https://educationendowmentfoundation.org.uk/education-evidence/guidance-reports/early-maths" TargetMode="External"/><Relationship Id="rId25" Type="http://schemas.openxmlformats.org/officeDocument/2006/relationships/hyperlink" Target="https://www.gov.uk/government/publications/school-attendance/framework-for-securing-full-attendance-actions-for-schools-and-local-authorities" TargetMode="External"/><Relationship Id="rId2" Type="http://schemas.openxmlformats.org/officeDocument/2006/relationships/customXml" Target="../customXml/item2.xml"/><Relationship Id="rId16" Type="http://schemas.openxmlformats.org/officeDocument/2006/relationships/hyperlink" Target="https://educationendowmentfoundation.org.uk/education-evidence/teaching-learning-toolkit/reading-comprehension-strategies" TargetMode="External"/><Relationship Id="rId20" Type="http://schemas.openxmlformats.org/officeDocument/2006/relationships/hyperlink" Target="https://educationendowmentfoundation.org.uk/education-evidence/teaching-learning-toolkit/oral-language-intervention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ucationendowmentfoundation.org.uk/education-evidence/teaching-learning-toolkit/phonics" TargetMode="External"/><Relationship Id="rId24" Type="http://schemas.openxmlformats.org/officeDocument/2006/relationships/hyperlink" Target="https://educationendowmentfoundation.org.uk/education-evidence/teaching-learning-toolkit/aspiration-interventions" TargetMode="External"/><Relationship Id="rId5" Type="http://schemas.openxmlformats.org/officeDocument/2006/relationships/styles" Target="styles.xml"/><Relationship Id="rId15" Type="http://schemas.openxmlformats.org/officeDocument/2006/relationships/hyperlink" Target="https://educationendowmentfoundation.org.uk/education-evidence/guidance-reports/literacy-ks2" TargetMode="External"/><Relationship Id="rId23" Type="http://schemas.openxmlformats.org/officeDocument/2006/relationships/hyperlink" Target="https://educationendowmentfoundation.org.uk/evidence-summaries/teaching-learning-toolkit/small-group-tuition/" TargetMode="External"/><Relationship Id="rId28" Type="http://schemas.openxmlformats.org/officeDocument/2006/relationships/fontTable" Target="fontTable.xml"/><Relationship Id="rId10" Type="http://schemas.openxmlformats.org/officeDocument/2006/relationships/hyperlink" Target="https://educationendowmentfoundation.org.uk/education-evidence/teaching-learning-toolkit/feedback" TargetMode="External"/><Relationship Id="rId19" Type="http://schemas.openxmlformats.org/officeDocument/2006/relationships/hyperlink" Target="https://assets.publishing.service.gov.uk/government/uploads/system/uploads/attachment_data/file/1017683/Maths_guidance_KS_1_and_2.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ducationendowmentfoundation.org.uk/education-evidence/guidance-reports/literacy-ks-1" TargetMode="External"/><Relationship Id="rId22" Type="http://schemas.openxmlformats.org/officeDocument/2006/relationships/hyperlink" Target="https://educationendowmentfoundation.org.uk/education-evidence/teaching-learning-toolkit/one-to-one-tuition"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F69EE0F4208E4AB046EA762EEFF43F" ma:contentTypeVersion="" ma:contentTypeDescription="Create a new document." ma:contentTypeScope="" ma:versionID="e6052b392fa3ab1c8bf1bbfe885307b7">
  <xsd:schema xmlns:xsd="http://www.w3.org/2001/XMLSchema" xmlns:xs="http://www.w3.org/2001/XMLSchema" xmlns:p="http://schemas.microsoft.com/office/2006/metadata/properties" xmlns:ns2="44e821aa-1ea7-4d96-9c51-c35df4780a8e" xmlns:ns3="45390eae-4821-456e-9e8f-815f26c78c00" targetNamespace="http://schemas.microsoft.com/office/2006/metadata/properties" ma:root="true" ma:fieldsID="e734b8afcc30bad634bf0ca16f1e900d" ns2:_="" ns3:_="">
    <xsd:import namespace="44e821aa-1ea7-4d96-9c51-c35df4780a8e"/>
    <xsd:import namespace="45390eae-4821-456e-9e8f-815f26c78c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e821aa-1ea7-4d96-9c51-c35df4780a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390eae-4821-456e-9e8f-815f26c78c0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7FA3A6-C360-45F1-98AF-984F5E0D05B0}">
  <ds:schemaRefs>
    <ds:schemaRef ds:uri="http://schemas.microsoft.com/sharepoint/v3/contenttype/forms"/>
  </ds:schemaRefs>
</ds:datastoreItem>
</file>

<file path=customXml/itemProps2.xml><?xml version="1.0" encoding="utf-8"?>
<ds:datastoreItem xmlns:ds="http://schemas.openxmlformats.org/officeDocument/2006/customXml" ds:itemID="{4C481C13-7132-4D9F-B3BD-D05DB6AEFB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006B5F-3376-4920-A8AB-791F7DA12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e821aa-1ea7-4d96-9c51-c35df4780a8e"/>
    <ds:schemaRef ds:uri="45390eae-4821-456e-9e8f-815f26c78c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11</Pages>
  <Words>2699</Words>
  <Characters>15387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Evans, Louise</cp:lastModifiedBy>
  <cp:revision>27</cp:revision>
  <cp:lastPrinted>2014-09-17T13:26:00Z</cp:lastPrinted>
  <dcterms:created xsi:type="dcterms:W3CDTF">2021-12-13T15:11:00Z</dcterms:created>
  <dcterms:modified xsi:type="dcterms:W3CDTF">2021-12-17T12:06:00Z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0x0101004CF69EE0F4208E4AB046EA762EEFF43F</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